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DIRETRIZES INSTITUCIONAIS DO IFFAR - CAI</w:t>
      </w:r>
    </w:p>
    <w:p>
      <w:pPr>
        <w:pStyle w:val="Normal"/>
        <w:spacing w:lineRule="auto" w:line="24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RESOLUÇÕES E INSTRUÇÕES NORMATIVAS ORGANIZADAS POR TEMÁTICAS</w:t>
      </w:r>
    </w:p>
    <w:p>
      <w:pPr>
        <w:pStyle w:val="Normal"/>
        <w:spacing w:lineRule="auto" w:line="24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ATUALIZADA EM 0</w:t>
      </w:r>
      <w:r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 xml:space="preserve"> DE </w:t>
      </w:r>
      <w:r>
        <w:rPr>
          <w:b/>
          <w:sz w:val="20"/>
          <w:szCs w:val="20"/>
        </w:rPr>
        <w:t>OUTUBRO</w:t>
      </w:r>
      <w:r>
        <w:rPr>
          <w:b/>
          <w:sz w:val="20"/>
          <w:szCs w:val="20"/>
        </w:rPr>
        <w:t xml:space="preserve"> DE 2021</w:t>
      </w:r>
    </w:p>
    <w:p>
      <w:pPr>
        <w:pStyle w:val="Normal"/>
        <w:spacing w:lineRule="auto" w:line="24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/>
        <w:jc w:val="center"/>
        <w:rPr>
          <w:sz w:val="20"/>
          <w:szCs w:val="20"/>
        </w:rPr>
      </w:pPr>
      <w:r>
        <w:rPr>
          <w:b/>
          <w:sz w:val="20"/>
          <w:szCs w:val="20"/>
        </w:rPr>
        <w:t>Ações Inclusivas</w:t>
      </w:r>
    </w:p>
    <w:tbl>
      <w:tblPr>
        <w:tblW w:w="5000" w:type="pct"/>
        <w:jc w:val="center"/>
        <w:tblInd w:w="0" w:type="dxa"/>
        <w:tblCellMar>
          <w:top w:w="100" w:type="dxa"/>
          <w:left w:w="100" w:type="dxa"/>
          <w:bottom w:w="100" w:type="dxa"/>
          <w:right w:w="100" w:type="dxa"/>
        </w:tblCellMar>
        <w:tblLook w:val="0600" w:noHBand="1" w:noVBand="1" w:firstColumn="0" w:lastRow="0" w:lastColumn="0" w:firstRow="0"/>
      </w:tblPr>
      <w:tblGrid>
        <w:gridCol w:w="7362"/>
        <w:gridCol w:w="3654"/>
        <w:gridCol w:w="2942"/>
      </w:tblGrid>
      <w:tr>
        <w:trPr/>
        <w:tc>
          <w:tcPr>
            <w:tcW w:w="7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Temática</w:t>
            </w:r>
          </w:p>
        </w:tc>
        <w:tc>
          <w:tcPr>
            <w:tcW w:w="3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 Vigência</w:t>
            </w:r>
          </w:p>
        </w:tc>
        <w:tc>
          <w:tcPr>
            <w:tcW w:w="2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Revogada</w:t>
            </w:r>
          </w:p>
        </w:tc>
      </w:tr>
      <w:tr>
        <w:trPr/>
        <w:tc>
          <w:tcPr>
            <w:tcW w:w="7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Regimento da Coordenação de Ações Inclusivas</w:t>
            </w:r>
          </w:p>
        </w:tc>
        <w:tc>
          <w:tcPr>
            <w:tcW w:w="36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hyperlink r:id="rId2">
              <w:r>
                <w:rPr>
                  <w:rStyle w:val="LinkdaInternet"/>
                  <w:color w:val="auto"/>
                  <w:sz w:val="20"/>
                  <w:szCs w:val="20"/>
                </w:rPr>
                <w:t>RESOLUÇÃO CONSUP Nº 15/2014</w:t>
              </w:r>
            </w:hyperlink>
          </w:p>
        </w:tc>
        <w:tc>
          <w:tcPr>
            <w:tcW w:w="29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  <w:vertAlign w:val="subscript"/>
              </w:rPr>
            </w:pPr>
            <w:r>
              <w:rPr>
                <w:sz w:val="20"/>
                <w:szCs w:val="20"/>
              </w:rPr>
              <w:t>RESOLUÇÃO CONSUP Nº 14/2010 e 23/2010</w:t>
            </w:r>
          </w:p>
        </w:tc>
      </w:tr>
      <w:tr>
        <w:trPr/>
        <w:tc>
          <w:tcPr>
            <w:tcW w:w="7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Núcleo de Elaboração e Adaptação de Materiais Didático-Pedagógicos (Neama)</w:t>
            </w:r>
          </w:p>
        </w:tc>
        <w:tc>
          <w:tcPr>
            <w:tcW w:w="36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40"/>
              <w:jc w:val="center"/>
              <w:rPr>
                <w:sz w:val="20"/>
                <w:szCs w:val="20"/>
                <w:highlight w:val="white"/>
              </w:rPr>
            </w:pPr>
            <w:hyperlink r:id="rId3">
              <w:r>
                <w:rPr>
                  <w:rStyle w:val="LinkdaInternet"/>
                  <w:color w:val="auto"/>
                  <w:sz w:val="20"/>
                  <w:szCs w:val="20"/>
                </w:rPr>
                <w:t>RESOLUÇÃO CONSUP Nº 33/2014</w:t>
              </w:r>
            </w:hyperlink>
          </w:p>
        </w:tc>
        <w:tc>
          <w:tcPr>
            <w:tcW w:w="29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-</w:t>
            </w:r>
          </w:p>
        </w:tc>
      </w:tr>
      <w:tr>
        <w:trPr/>
        <w:tc>
          <w:tcPr>
            <w:tcW w:w="736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Acessibilidade Virtual e Comunicacional e Manual de Procedimentos Acessíveis</w:t>
            </w:r>
          </w:p>
        </w:tc>
        <w:tc>
          <w:tcPr>
            <w:tcW w:w="3654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40"/>
              <w:jc w:val="center"/>
              <w:rPr>
                <w:sz w:val="20"/>
                <w:szCs w:val="20"/>
                <w:highlight w:val="white"/>
              </w:rPr>
            </w:pPr>
            <w:hyperlink r:id="rId4">
              <w:r>
                <w:rPr>
                  <w:rStyle w:val="LinkdaInternet"/>
                  <w:color w:val="auto"/>
                  <w:sz w:val="20"/>
                  <w:szCs w:val="20"/>
                </w:rPr>
                <w:t>RESOLUÇÃO CONSUP Nº 12/2015</w:t>
              </w:r>
            </w:hyperlink>
          </w:p>
        </w:tc>
        <w:tc>
          <w:tcPr>
            <w:tcW w:w="2942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-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736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>
              <w:rPr>
                <w:sz w:val="20"/>
                <w:szCs w:val="20"/>
                <w:highlight w:val="white"/>
              </w:rPr>
              <w:t>tilização do nome social</w:t>
            </w:r>
          </w:p>
        </w:tc>
        <w:tc>
          <w:tcPr>
            <w:tcW w:w="3654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40"/>
              <w:jc w:val="center"/>
              <w:rPr>
                <w:sz w:val="20"/>
                <w:szCs w:val="20"/>
              </w:rPr>
            </w:pPr>
            <w:hyperlink r:id="rId5">
              <w:r>
                <w:rPr>
                  <w:rStyle w:val="LinkdaInternet"/>
                  <w:color w:val="auto"/>
                  <w:sz w:val="20"/>
                  <w:szCs w:val="20"/>
                </w:rPr>
                <w:t>IN GABINETE Nº 03/2015</w:t>
              </w:r>
            </w:hyperlink>
          </w:p>
        </w:tc>
        <w:tc>
          <w:tcPr>
            <w:tcW w:w="2942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Núcleo de Gênero e Diversidade Sexual (</w:t>
            </w:r>
            <w:r>
              <w:rPr>
                <w:sz w:val="20"/>
                <w:szCs w:val="20"/>
                <w:highlight w:val="white"/>
              </w:rPr>
              <w:t>NUGEDIS)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hyperlink r:id="rId6">
              <w:r>
                <w:rPr>
                  <w:rStyle w:val="LinkdaInternet"/>
                  <w:color w:val="auto"/>
                  <w:sz w:val="20"/>
                  <w:szCs w:val="20"/>
                </w:rPr>
                <w:t>RESOLUÇÃO CONSUP Nº 23/2016</w:t>
              </w:r>
            </w:hyperlink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-</w:t>
            </w:r>
          </w:p>
        </w:tc>
      </w:tr>
      <w:tr>
        <w:trPr/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Terminalidade Específica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40"/>
              <w:jc w:val="center"/>
              <w:rPr>
                <w:sz w:val="20"/>
                <w:szCs w:val="20"/>
                <w:highlight w:val="white"/>
              </w:rPr>
            </w:pPr>
            <w:hyperlink r:id="rId7">
              <w:r>
                <w:rPr>
                  <w:rStyle w:val="LinkdaInternet"/>
                  <w:color w:val="auto"/>
                  <w:sz w:val="20"/>
                  <w:szCs w:val="20"/>
                </w:rPr>
                <w:t>RESOLUÇÃO CONSUP Nº 60/2016</w:t>
              </w:r>
            </w:hyperlink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-</w:t>
            </w:r>
          </w:p>
        </w:tc>
      </w:tr>
      <w:tr>
        <w:trPr/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Política de Não Violência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hyperlink r:id="rId8">
              <w:r>
                <w:rPr>
                  <w:rStyle w:val="LinkdaInternet"/>
                  <w:color w:val="auto"/>
                  <w:sz w:val="20"/>
                  <w:szCs w:val="20"/>
                </w:rPr>
                <w:t>RESOLUÇÃO CONSUP Nº 71/2018</w:t>
              </w:r>
            </w:hyperlink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Política de Diversidade e Inclusão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hyperlink r:id="rId9">
              <w:r>
                <w:rPr>
                  <w:rStyle w:val="LinkdaInternet"/>
                  <w:color w:val="auto"/>
                  <w:sz w:val="20"/>
                  <w:szCs w:val="20"/>
                </w:rPr>
                <w:t>RESOLUÇÃO CONSUP Nº 79/2018</w:t>
              </w:r>
            </w:hyperlink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Política de Ações Afirmativas de Inclusão Socioeconômica, Étnico-Racial e para Pessoas com Deficiência para os Cursos Técnicos de Nível Médio e de Graduação, presenciais e a distância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hyperlink r:id="rId10">
              <w:r>
                <w:rPr>
                  <w:rStyle w:val="LinkdaInternet"/>
                  <w:color w:val="auto"/>
                  <w:sz w:val="20"/>
                  <w:szCs w:val="20"/>
                </w:rPr>
                <w:t>RESOLUÇÃO CONSUP Nº 29/2019</w:t>
              </w:r>
            </w:hyperlink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RESOLUÇÃO CONSUP Nº 05/2009, 32/2010, 39/2011, 73/2017 e AD REFERENDUM Nº 48/2011</w:t>
            </w:r>
          </w:p>
        </w:tc>
      </w:tr>
      <w:tr>
        <w:trPr/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Atendimento Educacional Especializado (AEE)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hyperlink r:id="rId11">
              <w:r>
                <w:rPr>
                  <w:rStyle w:val="LinkdaInternet"/>
                  <w:color w:val="auto"/>
                  <w:sz w:val="20"/>
                  <w:szCs w:val="20"/>
                </w:rPr>
                <w:t>RESOLUÇÃO CONSUP Nº 52/2019</w:t>
              </w:r>
            </w:hyperlink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RESOLUÇÃO CONSUP Nº 15/2015</w:t>
            </w:r>
          </w:p>
        </w:tc>
      </w:tr>
      <w:tr>
        <w:trPr/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referentes ao processo de heteroidentificação de candidatos autodeclarados negros (pretos e pardos) em casos de denúncia de suspeita de fraude no uso de cotas em processos seletivos de estudantes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12">
              <w:r>
                <w:rPr>
                  <w:rStyle w:val="LinkdaInternet"/>
                  <w:sz w:val="20"/>
                  <w:szCs w:val="20"/>
                </w:rPr>
                <w:t>RESOLUÇÃO CONSUP Nº 52/2020</w:t>
              </w:r>
            </w:hyperlink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GABINETE Nº 01/2020</w:t>
            </w:r>
          </w:p>
        </w:tc>
      </w:tr>
      <w:tr>
        <w:trPr/>
        <w:tc>
          <w:tcPr>
            <w:tcW w:w="7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Dia 16 de setembro para a promoção de ações de combate à violência contra as mulheres no âmbito do IFFar</w:t>
            </w:r>
          </w:p>
        </w:tc>
        <w:tc>
          <w:tcPr>
            <w:tcW w:w="3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rPr/>
            </w:pPr>
            <w:hyperlink r:id="rId13">
              <w:r>
                <w:rPr>
                  <w:rStyle w:val="LinkdaInternet"/>
                  <w:sz w:val="20"/>
                  <w:szCs w:val="20"/>
                </w:rPr>
                <w:t>RESOLUÇÃO CONSUP Nº 61/2020</w:t>
              </w:r>
            </w:hyperlink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Orientações e procedimentos em casos de denúncia de suspeita de fraude de candidatos autodeclarados indígenas nos processos seletivos de estudantes do IFFar</w:t>
            </w:r>
          </w:p>
        </w:tc>
        <w:tc>
          <w:tcPr>
            <w:tcW w:w="3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rPr/>
            </w:pPr>
            <w:hyperlink r:id="rId14">
              <w:r>
                <w:rPr>
                  <w:rStyle w:val="LinkdaInternet"/>
                  <w:sz w:val="20"/>
                  <w:szCs w:val="20"/>
                </w:rPr>
                <w:t>PORTARIA ELETRÔNICA No 823/2021</w:t>
              </w:r>
            </w:hyperlink>
          </w:p>
        </w:tc>
        <w:tc>
          <w:tcPr>
            <w:tcW w:w="29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>
        <w:trPr/>
        <w:tc>
          <w:tcPr>
            <w:tcW w:w="73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Dispõe sobre a atuação de Tradutores e Intérpretes de Língua Brasileira de Sinais - TILS em transmissões de vídeo on-line no âmbito do Instituto Federal Farroupilha.</w:t>
            </w:r>
          </w:p>
        </w:tc>
        <w:tc>
          <w:tcPr>
            <w:tcW w:w="3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GABINETE Nº 25/2021</w:t>
            </w:r>
          </w:p>
        </w:tc>
        <w:tc>
          <w:tcPr>
            <w:tcW w:w="29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>
      <w:pPr>
        <w:pStyle w:val="Normal"/>
        <w:spacing w:lineRule="auto" w:line="24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/>
        <w:jc w:val="center"/>
        <w:rPr>
          <w:b/>
          <w:b/>
          <w:sz w:val="20"/>
          <w:szCs w:val="20"/>
        </w:rPr>
      </w:pPr>
      <w:r>
        <w:rPr/>
      </w:r>
    </w:p>
    <w:sectPr>
      <w:headerReference w:type="default" r:id="rId15"/>
      <w:footerReference w:type="default" r:id="rId16"/>
      <w:type w:val="nextPage"/>
      <w:pgSz w:w="16838" w:h="11906"/>
      <w:pgMar w:left="1440" w:right="1440" w:header="720" w:top="1440" w:footer="72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07824492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b/>
        <w:b/>
      </w:rPr>
    </w:pPr>
    <w:r>
      <w:rPr>
        <w:b/>
      </w:rPr>
      <w:drawing>
        <wp:anchor behindDoc="1" distT="0" distB="0" distL="114300" distR="114300" simplePos="0" locked="0" layoutInCell="1" allowOverlap="1" relativeHeight="3">
          <wp:simplePos x="0" y="0"/>
          <wp:positionH relativeFrom="column">
            <wp:posOffset>4155440</wp:posOffset>
          </wp:positionH>
          <wp:positionV relativeFrom="paragraph">
            <wp:posOffset>-160020</wp:posOffset>
          </wp:positionV>
          <wp:extent cx="587375" cy="587375"/>
          <wp:effectExtent l="0" t="0" r="0" b="0"/>
          <wp:wrapSquare wrapText="bothSides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737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>
        <w:b/>
        <w:b/>
      </w:rPr>
    </w:pPr>
    <w:r>
      <w:rPr>
        <w:b/>
      </w:rPr>
    </w:r>
  </w:p>
  <w:p>
    <w:pPr>
      <w:pStyle w:val="Cabealho"/>
      <w:jc w:val="center"/>
      <w:rPr>
        <w:b/>
        <w:b/>
      </w:rPr>
    </w:pPr>
    <w:r>
      <w:rPr>
        <w:b/>
      </w:rPr>
    </w:r>
  </w:p>
  <w:p>
    <w:pPr>
      <w:pStyle w:val="Cabealho"/>
      <w:jc w:val="center"/>
      <w:rPr>
        <w:b/>
        <w:b/>
      </w:rPr>
    </w:pPr>
    <w:r>
      <w:rPr>
        <w:b/>
      </w:rPr>
      <w:t>MINISTÉRIO DA EDUCAÇÃO</w:t>
    </w:r>
  </w:p>
  <w:p>
    <w:pPr>
      <w:pStyle w:val="Cabealho"/>
      <w:jc w:val="center"/>
      <w:rPr>
        <w:b/>
        <w:b/>
        <w:sz w:val="16"/>
        <w:szCs w:val="16"/>
      </w:rPr>
    </w:pPr>
    <w:r>
      <w:rPr>
        <w:b/>
        <w:sz w:val="16"/>
        <w:szCs w:val="16"/>
      </w:rPr>
      <w:t>INSTITUTO FEDERAL FARROUPILHA</w:t>
    </w:r>
  </w:p>
  <w:p>
    <w:pPr>
      <w:pStyle w:val="Cabealho"/>
      <w:jc w:val="center"/>
      <w:rPr>
        <w:b/>
        <w:b/>
        <w:sz w:val="16"/>
        <w:szCs w:val="16"/>
      </w:rPr>
    </w:pPr>
    <w:r>
      <w:rPr>
        <w:b/>
        <w:sz w:val="16"/>
        <w:szCs w:val="16"/>
      </w:rPr>
      <w:t>REITORIA</w:t>
    </w:r>
  </w:p>
  <w:p>
    <w:pPr>
      <w:pStyle w:val="Cabealho"/>
      <w:jc w:val="center"/>
      <w:rPr>
        <w:b/>
        <w:b/>
        <w:sz w:val="16"/>
        <w:szCs w:val="16"/>
      </w:rPr>
    </w:pPr>
    <w:r>
      <w:rPr>
        <w:b/>
        <w:sz w:val="16"/>
        <w:szCs w:val="16"/>
      </w:rPr>
      <w:t>PRÓ-REITORIA DE ENSINO</w:t>
    </w:r>
  </w:p>
  <w:p>
    <w:pPr>
      <w:pStyle w:val="Cabealho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e5b12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qFormat/>
    <w:rsid w:val="00ae5b12"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qFormat/>
    <w:rsid w:val="00ae5b12"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qFormat/>
    <w:rsid w:val="00ae5b12"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qFormat/>
    <w:rsid w:val="00ae5b12"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qFormat/>
    <w:rsid w:val="00ae5b12"/>
    <w:pPr>
      <w:keepNext w:val="true"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qFormat/>
    <w:rsid w:val="00ae5b12"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d3e7c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sid w:val="00bd3e7c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bd3e7c"/>
    <w:rPr>
      <w:b/>
      <w:bCs/>
      <w:sz w:val="20"/>
      <w:szCs w:val="20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bd3e7c"/>
    <w:rPr>
      <w:rFonts w:ascii="Tahoma" w:hAnsi="Tahoma" w:cs="Tahoma"/>
      <w:sz w:val="16"/>
      <w:szCs w:val="16"/>
    </w:rPr>
  </w:style>
  <w:style w:type="character" w:styleId="LinkdaInternet" w:customStyle="1">
    <w:name w:val="Link da Internet"/>
    <w:basedOn w:val="DefaultParagraphFont"/>
    <w:uiPriority w:val="99"/>
    <w:unhideWhenUsed/>
    <w:rsid w:val="00db1f7d"/>
    <w:rPr>
      <w:color w:val="0000FF"/>
      <w:u w:val="single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302aba"/>
    <w:rPr/>
  </w:style>
  <w:style w:type="character" w:styleId="RodapChar" w:customStyle="1">
    <w:name w:val="Rodapé Char"/>
    <w:basedOn w:val="DefaultParagraphFont"/>
    <w:link w:val="Rodap"/>
    <w:uiPriority w:val="99"/>
    <w:qFormat/>
    <w:rsid w:val="00302aba"/>
    <w:rPr/>
  </w:style>
  <w:style w:type="character" w:styleId="Linkdainternetvisitado" w:customStyle="1">
    <w:name w:val="Link da internet visitado"/>
    <w:basedOn w:val="DefaultParagraphFont"/>
    <w:uiPriority w:val="99"/>
    <w:semiHidden/>
    <w:unhideWhenUsed/>
    <w:rsid w:val="00fb07c3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24187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next w:val="Corpodotexto"/>
    <w:qFormat/>
    <w:rsid w:val="00ae5b12"/>
    <w:pPr>
      <w:keepNext w:val="true"/>
      <w:keepLines/>
      <w:spacing w:before="0" w:after="60"/>
    </w:pPr>
    <w:rPr>
      <w:sz w:val="52"/>
      <w:szCs w:val="5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ubttulo">
    <w:name w:val="Subtitle"/>
    <w:basedOn w:val="Normal"/>
    <w:next w:val="Normal"/>
    <w:qFormat/>
    <w:rsid w:val="00ae5b12"/>
    <w:pPr>
      <w:keepNext w:val="true"/>
      <w:keepLines/>
      <w:spacing w:before="0" w:after="320"/>
    </w:pPr>
    <w:rPr>
      <w:color w:val="666666"/>
      <w:sz w:val="30"/>
      <w:szCs w:val="30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bd3e7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bd3e7c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bd3e7c"/>
    <w:pPr>
      <w:spacing w:lineRule="auto" w:line="24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8d6dc9"/>
    <w:pPr>
      <w:widowControl/>
      <w:suppressAutoHyphens w:val="true"/>
      <w:bidi w:val="0"/>
      <w:spacing w:before="0" w:after="0"/>
      <w:jc w:val="left"/>
    </w:pPr>
    <w:rPr>
      <w:rFonts w:eastAsia="Calibri" w:ascii="Arial" w:hAnsi="Arial" w:cs="Arial"/>
      <w:color w:val="000000"/>
      <w:kern w:val="0"/>
      <w:sz w:val="24"/>
      <w:szCs w:val="24"/>
      <w:lang w:eastAsia="en-US" w:val="pt-BR" w:bidi="ar-SA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302aba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Rodap">
    <w:name w:val="Footer"/>
    <w:basedOn w:val="Normal"/>
    <w:link w:val="RodapChar"/>
    <w:uiPriority w:val="99"/>
    <w:unhideWhenUsed/>
    <w:rsid w:val="00302aba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ae5b1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iffarroupilha.edu.br/regulamentos-e-legisla&#231;&#245;es/resolu&#231;&#245;es/item/1345-resolu&#231;&#227;o-consup-n&#186;-15-2014-regimento-da-coordena&#231;&#227;o-de-a&#231;&#245;es-inclusivas" TargetMode="External"/><Relationship Id="rId3" Type="http://schemas.openxmlformats.org/officeDocument/2006/relationships/hyperlink" Target="https://www.iffarroupilha.edu.br/regulamentos-e-legisla&#231;&#245;es/resolu&#231;&#245;es/item/1364-resolu&#231;&#227;o-consup-n&#186;-33-2014-regulamento-do-n&#250;cleo-de-elabora&#231;&#227;o-e-adapta&#231;&#227;o-de-materiais-did&#225;tico-pedag&#243;gicos-neama" TargetMode="External"/><Relationship Id="rId4" Type="http://schemas.openxmlformats.org/officeDocument/2006/relationships/hyperlink" Target="https://www.iffarroupilha.edu.br/regulamentos-e-legisla&#231;&#245;es/resolu&#231;&#245;es/item/1367-resolu&#231;&#227;o-consup-n&#186;-12-2015-regulamento-de-acessibilidade-virtual-e-comunicacional-e-manual-de-procedimentos-acess&#237;veis" TargetMode="External"/><Relationship Id="rId5" Type="http://schemas.openxmlformats.org/officeDocument/2006/relationships/hyperlink" Target="https://www.iffarroupilha.edu.br/regulamentos-e-legisla&#231;&#245;es/instru&#231;&#245;es-normativas/item/1733-in-if-farroupilha-n&#186;-03-2015-disp&#245;e-sobre-a-utiliza&#231;&#227;o-do-nome-social-no-&#226;mbito-do-instituto-federal-farroupilha" TargetMode="External"/><Relationship Id="rId6" Type="http://schemas.openxmlformats.org/officeDocument/2006/relationships/hyperlink" Target="https://www.iffarroupilha.edu.br/regulamentos-e-legisla&#231;&#245;es/resolu&#231;&#245;es/item/14699-resolu&#231;&#227;o-n&#186;-023-2016-altera-a-reda&#231;&#227;o,-reorganiza-os-t&#237;tulos-e-inclui-o-n&#250;cleo-de-g&#234;nero-e-diversidade-sexual-na-resolu&#231;&#227;o-consup-n&#186;-015-2014-que-disp&#245;e-sobre-as-a&#231;&#245;es-inclusivas-do-iffar" TargetMode="External"/><Relationship Id="rId7" Type="http://schemas.openxmlformats.org/officeDocument/2006/relationships/hyperlink" Target="https://www.iffarroupilha.edu.br/regulamentos-e-legisla&#231;&#245;es/resolu&#231;&#245;es/item/3064-resolu&#231;&#227;o-do-consup-n&#186;-60-2016-regulamento-de-terminalidade-espec&#237;fica" TargetMode="External"/><Relationship Id="rId8" Type="http://schemas.openxmlformats.org/officeDocument/2006/relationships/hyperlink" Target="https://www.iffarroupilha.edu.br/regulamentos-e-legisla&#231;&#245;es/resolu&#231;&#245;es/item/14713-resolu&#231;&#227;o-consup-n&#186;-071-2018-estabelece-a-pol&#237;tica-de-n&#227;o-viol&#234;ncia-do-iffar" TargetMode="External"/><Relationship Id="rId9" Type="http://schemas.openxmlformats.org/officeDocument/2006/relationships/hyperlink" Target="https://www.iffarroupilha.edu.br/regulamentos-e-legisla&#231;&#245;es/resolu&#231;&#245;es/item/14719-resolu&#231;&#227;o-consup-n&#186;-079-2018-aprova-a-pol&#237;tica-de-diversidade-e-inclus&#227;o-do-iffar" TargetMode="External"/><Relationship Id="rId10" Type="http://schemas.openxmlformats.org/officeDocument/2006/relationships/hyperlink" Target="https://www.iffarroupilha.edu.br/regulamentos-e-legisla&#231;&#245;es/resolu&#231;&#245;es/item/14703-resolu&#231;&#227;o-consup-n&#186;-029-2019-revoga-a-resolu&#231;&#227;o-consup-n&#186;-073-2017-estabelece-a-pol&#237;tica-de-a&#231;&#245;es-afirmativas-de-inclus&#227;o-socioecon&#244;mica,-&#233;tnico-racial-e-para-pessoas-com-defici&#234;ncia-para-os-cursos-do-iffar" TargetMode="External"/><Relationship Id="rId11" Type="http://schemas.openxmlformats.org/officeDocument/2006/relationships/hyperlink" Target="https://www.iffarroupilha.edu.br/regulamentos-e-legisla&#231;&#245;es/resolu&#231;&#245;es/item/15642-resolu&#231;&#227;o-consup-n&#186;-052-2019-atualiza&#231;&#227;o-do-regulamento-do-atendimento-educacional-especializado-no-iffar" TargetMode="External"/><Relationship Id="rId12" Type="http://schemas.openxmlformats.org/officeDocument/2006/relationships/hyperlink" Target="https://www.iffarroupilha.edu.br/regulamentos-e-legisla&#231;&#245;es/resolu&#231;&#245;es/item/19440-resolu&#231;&#227;o-consup-n&#186;-052-2020-estabelece-procedimentos-referentes-ao-processo-de-heteroidentifica&#231;&#227;o-de-candidatos-autodeclarados-negros-pretos-e-pardos-em-casos-de-den&#250;ncia-de-suspeita-de-fraude-no-uso-de-cotas-em-processos-seletivos-de-estudantes-do-iffa" TargetMode="External"/><Relationship Id="rId13" Type="http://schemas.openxmlformats.org/officeDocument/2006/relationships/hyperlink" Target="https://www.iffarroupilha.edu.br/regulamentos-e-legisla&#231;&#245;es/resolu&#231;&#245;es/item/19622-resolu&#231;&#227;o-consup-n&#176;-061-2020-homologa-resolu&#231;&#227;o-que-institui-o-dia-16-de-setembro-para-a-promo&#231;&#227;o-de-a&#231;&#245;es-de-combate-&#224;-viol&#234;ncia-contra-as-mulheres" TargetMode="External"/><Relationship Id="rId14" Type="http://schemas.openxmlformats.org/officeDocument/2006/relationships/hyperlink" Target="https://sig.iffarroupilha.edu.br/sipac/protocolo/consulta/consulta_documento.jsf" TargetMode="Externa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LibreOffice/6.4.7.2$Linux_X86_64 LibreOffice_project/40$Build-2</Application>
  <Pages>2</Pages>
  <Words>304</Words>
  <Characters>1768</Characters>
  <CharactersWithSpaces>2018</CharactersWithSpaces>
  <Paragraphs>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2021-06-08T15:06:00Z</dcterms:created>
  <dc:creator>Daiele</dc:creator>
  <dc:description/>
  <dc:language>pt-BR</dc:language>
  <cp:lastModifiedBy/>
  <cp:lastPrinted>2019-11-21T19:26:00Z</cp:lastPrinted>
  <dcterms:modified xsi:type="dcterms:W3CDTF">2021-10-05T09:17:25Z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