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073" w:rsidRPr="00AA2745" w:rsidRDefault="003C2073" w:rsidP="003C2073">
      <w:pPr>
        <w:spacing w:after="0" w:line="240" w:lineRule="auto"/>
        <w:jc w:val="center"/>
        <w:rPr>
          <w:rFonts w:cs="Times New Roman"/>
          <w:b/>
          <w:bCs/>
          <w:color w:val="000000"/>
        </w:rPr>
      </w:pPr>
      <w:r w:rsidRPr="00AA2745">
        <w:rPr>
          <w:rFonts w:cs="Times New Roman"/>
          <w:b/>
          <w:bCs/>
          <w:color w:val="000000"/>
        </w:rPr>
        <w:t>PREGÃO ELETRÔNICO</w:t>
      </w:r>
    </w:p>
    <w:p w:rsidR="003C2073" w:rsidRPr="00AA2745" w:rsidRDefault="003C2073" w:rsidP="003C2073">
      <w:pPr>
        <w:spacing w:after="0" w:line="240" w:lineRule="auto"/>
        <w:jc w:val="center"/>
        <w:rPr>
          <w:rFonts w:cs="Times New Roman"/>
          <w:b/>
          <w:bCs/>
          <w:color w:val="000000"/>
        </w:rPr>
      </w:pPr>
      <w:r w:rsidRPr="00AA2745">
        <w:rPr>
          <w:rFonts w:cs="Times New Roman"/>
          <w:b/>
          <w:bCs/>
          <w:color w:val="000000"/>
        </w:rPr>
        <w:t>SISTEMA DE REGISTRO DE PREÇOS</w:t>
      </w:r>
    </w:p>
    <w:p w:rsidR="003C2073" w:rsidRPr="00AA2745" w:rsidRDefault="003C2073" w:rsidP="003C2073">
      <w:pPr>
        <w:pStyle w:val="Nivel1"/>
        <w:spacing w:before="0" w:line="240" w:lineRule="auto"/>
        <w:ind w:left="0" w:firstLine="0"/>
        <w:jc w:val="center"/>
        <w:rPr>
          <w:rFonts w:asciiTheme="minorHAnsi" w:hAnsiTheme="minorHAnsi"/>
          <w:sz w:val="22"/>
          <w:szCs w:val="22"/>
        </w:rPr>
      </w:pPr>
      <w:r w:rsidRPr="00AA2745">
        <w:rPr>
          <w:rFonts w:asciiTheme="minorHAnsi" w:hAnsiTheme="minorHAnsi"/>
          <w:sz w:val="22"/>
          <w:szCs w:val="22"/>
        </w:rPr>
        <w:t>PREGÃO SRP Nº 0</w:t>
      </w:r>
      <w:r>
        <w:rPr>
          <w:rFonts w:asciiTheme="minorHAnsi" w:hAnsiTheme="minorHAnsi"/>
          <w:sz w:val="22"/>
          <w:szCs w:val="22"/>
        </w:rPr>
        <w:t>2/2020</w:t>
      </w:r>
    </w:p>
    <w:p w:rsidR="003C2073" w:rsidRPr="007C054B" w:rsidRDefault="003C2073" w:rsidP="003C2073">
      <w:pPr>
        <w:pStyle w:val="Nivel1"/>
        <w:spacing w:before="0" w:line="240" w:lineRule="auto"/>
        <w:ind w:left="0" w:firstLine="0"/>
        <w:jc w:val="center"/>
        <w:rPr>
          <w:rFonts w:asciiTheme="minorHAnsi" w:hAnsiTheme="minorHAnsi"/>
          <w:sz w:val="22"/>
          <w:szCs w:val="22"/>
        </w:rPr>
      </w:pPr>
      <w:r w:rsidRPr="007C054B">
        <w:rPr>
          <w:rFonts w:asciiTheme="minorHAnsi" w:hAnsiTheme="minorHAnsi"/>
          <w:sz w:val="22"/>
          <w:szCs w:val="22"/>
        </w:rPr>
        <w:t xml:space="preserve">Processo Administrativo n.º </w:t>
      </w:r>
      <w:r w:rsidR="00B105AA" w:rsidRPr="007C054B">
        <w:rPr>
          <w:rFonts w:asciiTheme="minorHAnsi" w:hAnsiTheme="minorHAnsi"/>
          <w:sz w:val="22"/>
          <w:szCs w:val="22"/>
        </w:rPr>
        <w:t>23719.000</w:t>
      </w:r>
      <w:r w:rsidR="00B105AA">
        <w:rPr>
          <w:rFonts w:asciiTheme="minorHAnsi" w:hAnsiTheme="minorHAnsi"/>
          <w:sz w:val="22"/>
          <w:szCs w:val="22"/>
        </w:rPr>
        <w:t>838</w:t>
      </w:r>
      <w:r w:rsidR="00B105AA" w:rsidRPr="007C054B">
        <w:rPr>
          <w:rFonts w:asciiTheme="minorHAnsi" w:hAnsiTheme="minorHAnsi"/>
          <w:sz w:val="22"/>
          <w:szCs w:val="22"/>
        </w:rPr>
        <w:t>/20</w:t>
      </w:r>
      <w:r w:rsidR="00B105AA">
        <w:rPr>
          <w:rFonts w:asciiTheme="minorHAnsi" w:hAnsiTheme="minorHAnsi"/>
          <w:sz w:val="22"/>
          <w:szCs w:val="22"/>
        </w:rPr>
        <w:t>20</w:t>
      </w:r>
      <w:r w:rsidR="00B105AA" w:rsidRPr="007C054B">
        <w:rPr>
          <w:rFonts w:asciiTheme="minorHAnsi" w:hAnsiTheme="minorHAnsi"/>
          <w:sz w:val="22"/>
          <w:szCs w:val="22"/>
        </w:rPr>
        <w:t>-</w:t>
      </w:r>
      <w:r w:rsidR="00B105AA">
        <w:rPr>
          <w:rFonts w:asciiTheme="minorHAnsi" w:hAnsiTheme="minorHAnsi"/>
          <w:sz w:val="22"/>
          <w:szCs w:val="22"/>
        </w:rPr>
        <w:t>64</w:t>
      </w:r>
      <w:bookmarkStart w:id="0" w:name="_GoBack"/>
      <w:bookmarkEnd w:id="0"/>
    </w:p>
    <w:p w:rsidR="00142475" w:rsidRDefault="00142475">
      <w:pPr>
        <w:spacing w:before="120" w:after="0" w:line="240" w:lineRule="auto"/>
        <w:ind w:right="-15"/>
        <w:jc w:val="center"/>
        <w:rPr>
          <w:rFonts w:cs="Arial"/>
          <w:b/>
          <w:bCs/>
          <w:color w:val="000000"/>
        </w:rPr>
      </w:pPr>
    </w:p>
    <w:p w:rsidR="00142475" w:rsidRDefault="00902958">
      <w:pPr>
        <w:tabs>
          <w:tab w:val="left" w:pos="0"/>
        </w:tabs>
        <w:spacing w:before="120" w:after="0" w:line="240" w:lineRule="auto"/>
        <w:jc w:val="center"/>
        <w:rPr>
          <w:rFonts w:cs="Arial"/>
          <w:b/>
        </w:rPr>
      </w:pPr>
      <w:r>
        <w:rPr>
          <w:rFonts w:cs="Arial"/>
          <w:b/>
        </w:rPr>
        <w:t>ANEXO IX - INSTRUMENTO DE MEDIÇÃO DE RESULTADO – IMR</w:t>
      </w:r>
    </w:p>
    <w:p w:rsidR="00142475" w:rsidRDefault="00902958">
      <w:pPr>
        <w:tabs>
          <w:tab w:val="left" w:pos="0"/>
        </w:tabs>
        <w:spacing w:before="120" w:after="0" w:line="240" w:lineRule="auto"/>
        <w:jc w:val="center"/>
        <w:rPr>
          <w:rFonts w:cs="Arial"/>
          <w:b/>
        </w:rPr>
      </w:pPr>
      <w:r>
        <w:rPr>
          <w:rFonts w:cs="Arial"/>
          <w:b/>
        </w:rPr>
        <w:t>(Anexo V-B da IN SEGES/MP 05/2017)</w:t>
      </w:r>
    </w:p>
    <w:p w:rsidR="00142475" w:rsidRDefault="00142475">
      <w:pPr>
        <w:tabs>
          <w:tab w:val="left" w:pos="0"/>
        </w:tabs>
        <w:spacing w:before="120" w:after="0" w:line="240" w:lineRule="auto"/>
        <w:jc w:val="both"/>
        <w:rPr>
          <w:rFonts w:cs="Arial"/>
        </w:rPr>
      </w:pPr>
    </w:p>
    <w:p w:rsidR="00142475" w:rsidRDefault="00902958">
      <w:pPr>
        <w:tabs>
          <w:tab w:val="left" w:pos="0"/>
        </w:tabs>
        <w:spacing w:before="120" w:after="0" w:line="240" w:lineRule="auto"/>
        <w:jc w:val="both"/>
        <w:rPr>
          <w:rFonts w:cs="Arial"/>
        </w:rPr>
      </w:pPr>
      <w:r>
        <w:rPr>
          <w:rFonts w:cs="Arial"/>
        </w:rPr>
        <w:t>Para a avaliação da qualidade dos serviços prestados a fiscalização do contrato utilizará o indicador descrito nos quadros abaixo:</w:t>
      </w:r>
    </w:p>
    <w:p w:rsidR="00142475" w:rsidRDefault="00142475">
      <w:pPr>
        <w:tabs>
          <w:tab w:val="left" w:pos="0"/>
        </w:tabs>
        <w:spacing w:before="120" w:after="0" w:line="240" w:lineRule="auto"/>
        <w:jc w:val="both"/>
        <w:rPr>
          <w:rFonts w:cs="Arial"/>
        </w:rPr>
      </w:pPr>
    </w:p>
    <w:tbl>
      <w:tblPr>
        <w:tblStyle w:val="Tabelacomgrade"/>
        <w:tblW w:w="8720" w:type="dxa"/>
        <w:tblLook w:val="04A0" w:firstRow="1" w:lastRow="0" w:firstColumn="1" w:lastColumn="0" w:noHBand="0" w:noVBand="1"/>
      </w:tblPr>
      <w:tblGrid>
        <w:gridCol w:w="1888"/>
        <w:gridCol w:w="6832"/>
      </w:tblGrid>
      <w:tr w:rsidR="00142475">
        <w:tc>
          <w:tcPr>
            <w:tcW w:w="8719" w:type="dxa"/>
            <w:gridSpan w:val="2"/>
            <w:shd w:val="clear" w:color="auto" w:fill="BFBFBF" w:themeFill="background1" w:themeFillShade="BF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INDICADOR Nº 01 – EXECUÇÃO DO SERVIÇO DE TRADUTOR/ INTÉRPRETE DE LIBRAS</w:t>
            </w:r>
          </w:p>
        </w:tc>
      </w:tr>
      <w:tr w:rsidR="00142475">
        <w:tc>
          <w:tcPr>
            <w:tcW w:w="1887" w:type="dxa"/>
            <w:shd w:val="clear" w:color="auto" w:fill="BFBFBF" w:themeFill="background1" w:themeFillShade="BF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Item</w:t>
            </w:r>
          </w:p>
        </w:tc>
        <w:tc>
          <w:tcPr>
            <w:tcW w:w="6832" w:type="dxa"/>
            <w:shd w:val="clear" w:color="auto" w:fill="BFBFBF" w:themeFill="background1" w:themeFillShade="BF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Descrição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Finalidade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Garantir o efetivo cumprimento dos serviços, conforme descrito no Termo de Referência, verificando a execução integral e qualidade dos serviços.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Meta a cumprir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100% diariamente.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Instrumento de medição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Conferência local.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Forma de acompanhamento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 xml:space="preserve">Visual, pelo fiscal de contrato e </w:t>
            </w:r>
            <w:proofErr w:type="gramStart"/>
            <w:r>
              <w:rPr>
                <w:rFonts w:cs="Arial"/>
              </w:rPr>
              <w:t>feedback</w:t>
            </w:r>
            <w:proofErr w:type="gramEnd"/>
            <w:r>
              <w:rPr>
                <w:rFonts w:cs="Arial"/>
              </w:rPr>
              <w:t xml:space="preserve"> dos usuários dos serviços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Periodicidade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Diária.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Mecanismo de Cálculo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rPr>
                <w:rFonts w:cs="Arial"/>
              </w:rPr>
            </w:pPr>
            <w:proofErr w:type="gramStart"/>
            <w:r>
              <w:rPr>
                <w:rFonts w:cs="Arial"/>
              </w:rPr>
              <w:t>Será</w:t>
            </w:r>
            <w:proofErr w:type="gramEnd"/>
            <w:r>
              <w:rPr>
                <w:rFonts w:cs="Arial"/>
              </w:rPr>
              <w:t xml:space="preserve"> verificada as atividades realizadas e descontado conforme tabela.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Início de Vigência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Conforme Contrato.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Faixas de ajuste no pagamento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rPr>
                <w:rFonts w:cs="Arial"/>
              </w:rPr>
            </w:pPr>
            <w:proofErr w:type="gramStart"/>
            <w:r>
              <w:rPr>
                <w:rFonts w:cs="Arial"/>
              </w:rPr>
              <w:t>1</w:t>
            </w:r>
            <w:proofErr w:type="gramEnd"/>
            <w:r>
              <w:rPr>
                <w:rFonts w:cs="Arial"/>
              </w:rPr>
              <w:t>) 95% até 100% das atividades realizadas com qualidade: 100% do valor mensal;</w:t>
            </w:r>
          </w:p>
          <w:p w:rsidR="00142475" w:rsidRDefault="00902958">
            <w:pPr>
              <w:tabs>
                <w:tab w:val="left" w:pos="0"/>
              </w:tabs>
              <w:spacing w:after="0" w:line="240" w:lineRule="auto"/>
              <w:rPr>
                <w:rFonts w:cs="Arial"/>
              </w:rPr>
            </w:pPr>
            <w:proofErr w:type="gramStart"/>
            <w:r>
              <w:rPr>
                <w:rFonts w:cs="Arial"/>
              </w:rPr>
              <w:t>2</w:t>
            </w:r>
            <w:proofErr w:type="gramEnd"/>
            <w:r>
              <w:rPr>
                <w:rFonts w:cs="Arial"/>
              </w:rPr>
              <w:t>) 80% até 94,99% das atividades realizadas com qualidade: 98% do valor mensal;</w:t>
            </w:r>
          </w:p>
          <w:p w:rsidR="00142475" w:rsidRDefault="00902958">
            <w:pPr>
              <w:tabs>
                <w:tab w:val="left" w:pos="0"/>
              </w:tabs>
              <w:spacing w:after="0" w:line="240" w:lineRule="auto"/>
              <w:rPr>
                <w:rFonts w:cs="Arial"/>
              </w:rPr>
            </w:pPr>
            <w:proofErr w:type="gramStart"/>
            <w:r>
              <w:rPr>
                <w:rFonts w:cs="Arial"/>
              </w:rPr>
              <w:t>3</w:t>
            </w:r>
            <w:proofErr w:type="gramEnd"/>
            <w:r>
              <w:rPr>
                <w:rFonts w:cs="Arial"/>
              </w:rPr>
              <w:t>) 60% até 79,99% das atividades realizadas com qualidade: 95% do valor mensal;</w:t>
            </w:r>
          </w:p>
          <w:p w:rsidR="00142475" w:rsidRDefault="00902958">
            <w:pPr>
              <w:tabs>
                <w:tab w:val="left" w:pos="0"/>
              </w:tabs>
              <w:spacing w:after="0" w:line="240" w:lineRule="auto"/>
              <w:rPr>
                <w:rFonts w:cs="Arial"/>
              </w:rPr>
            </w:pPr>
            <w:proofErr w:type="gramStart"/>
            <w:r>
              <w:rPr>
                <w:rFonts w:cs="Arial"/>
              </w:rPr>
              <w:t>4</w:t>
            </w:r>
            <w:proofErr w:type="gramEnd"/>
            <w:r>
              <w:rPr>
                <w:rFonts w:cs="Arial"/>
              </w:rPr>
              <w:t>) abaixo de 60% das atividades realizadas com qualidade: 90% do valor mensal.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Sanções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Abaixo de 80% das atividades realizadas – multa de 5% sobre o valor mensal;</w:t>
            </w:r>
          </w:p>
          <w:p w:rsidR="00142475" w:rsidRDefault="00902958">
            <w:pPr>
              <w:tabs>
                <w:tab w:val="left" w:pos="0"/>
              </w:tabs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Abaixo de 60% das atividades realizadas – multa de 10% sobre o valor mensal.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Observações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 xml:space="preserve">Para ajuste de pagamento não será necessário </w:t>
            </w:r>
            <w:proofErr w:type="gramStart"/>
            <w:r>
              <w:rPr>
                <w:rFonts w:cs="Arial"/>
              </w:rPr>
              <w:t>a</w:t>
            </w:r>
            <w:proofErr w:type="gramEnd"/>
            <w:r>
              <w:rPr>
                <w:rFonts w:cs="Arial"/>
              </w:rPr>
              <w:t xml:space="preserve"> abertura de processo administrativo. Para aplicação das multas acima estabelecidas será garantida a ampla defesa e o contraditório.</w:t>
            </w:r>
          </w:p>
        </w:tc>
      </w:tr>
    </w:tbl>
    <w:p w:rsidR="00142475" w:rsidRDefault="00142475">
      <w:pPr>
        <w:tabs>
          <w:tab w:val="left" w:pos="0"/>
        </w:tabs>
        <w:spacing w:before="120" w:after="0" w:line="240" w:lineRule="auto"/>
        <w:jc w:val="both"/>
        <w:rPr>
          <w:rFonts w:cs="Arial"/>
          <w:highlight w:val="yellow"/>
        </w:rPr>
      </w:pPr>
    </w:p>
    <w:p w:rsidR="00142475" w:rsidRDefault="00142475">
      <w:pPr>
        <w:tabs>
          <w:tab w:val="left" w:pos="0"/>
        </w:tabs>
        <w:spacing w:before="120" w:after="0" w:line="240" w:lineRule="auto"/>
        <w:jc w:val="both"/>
        <w:rPr>
          <w:rFonts w:cs="Arial"/>
          <w:highlight w:val="yellow"/>
        </w:rPr>
      </w:pPr>
    </w:p>
    <w:p w:rsidR="00142475" w:rsidRDefault="00142475">
      <w:pPr>
        <w:tabs>
          <w:tab w:val="left" w:pos="0"/>
        </w:tabs>
        <w:spacing w:before="120" w:after="0" w:line="240" w:lineRule="auto"/>
        <w:jc w:val="both"/>
        <w:rPr>
          <w:rFonts w:cs="Arial"/>
          <w:highlight w:val="yellow"/>
        </w:rPr>
      </w:pPr>
    </w:p>
    <w:tbl>
      <w:tblPr>
        <w:tblStyle w:val="Tabelacomgrade"/>
        <w:tblW w:w="8720" w:type="dxa"/>
        <w:tblLook w:val="04A0" w:firstRow="1" w:lastRow="0" w:firstColumn="1" w:lastColumn="0" w:noHBand="0" w:noVBand="1"/>
      </w:tblPr>
      <w:tblGrid>
        <w:gridCol w:w="1888"/>
        <w:gridCol w:w="6832"/>
      </w:tblGrid>
      <w:tr w:rsidR="00142475">
        <w:tc>
          <w:tcPr>
            <w:tcW w:w="8719" w:type="dxa"/>
            <w:gridSpan w:val="2"/>
            <w:shd w:val="clear" w:color="auto" w:fill="BFBFBF" w:themeFill="background1" w:themeFillShade="BF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INDICADOR Nº 02 – DOS COLABORADORES (TRADUTOR/ INTÉRPRETE DE LIBRAS)</w:t>
            </w:r>
          </w:p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AUSÊNCIA DE COLABORADORES – QUANTITATIVO PREVISTO NO CONTRATO</w:t>
            </w:r>
          </w:p>
        </w:tc>
      </w:tr>
      <w:tr w:rsidR="00142475">
        <w:tc>
          <w:tcPr>
            <w:tcW w:w="1887" w:type="dxa"/>
            <w:shd w:val="clear" w:color="auto" w:fill="BFBFBF" w:themeFill="background1" w:themeFillShade="BF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Item</w:t>
            </w:r>
          </w:p>
        </w:tc>
        <w:tc>
          <w:tcPr>
            <w:tcW w:w="6832" w:type="dxa"/>
            <w:shd w:val="clear" w:color="auto" w:fill="BFBFBF" w:themeFill="background1" w:themeFillShade="BF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Descrição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Finalidade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both"/>
              <w:rPr>
                <w:rFonts w:cs="Arial"/>
              </w:rPr>
            </w:pPr>
            <w:r>
              <w:rPr>
                <w:rFonts w:cs="Arial"/>
              </w:rPr>
              <w:t>Garantir o efetivo cumprimento das atividades realizadas no local determinado para a execução dos serviços, vedada a ausência de colaboradores, devendo a empresa substituir imediatamente no caso de faltas.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Meta a cumprir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both"/>
              <w:rPr>
                <w:rFonts w:cs="Arial"/>
              </w:rPr>
            </w:pPr>
            <w:r>
              <w:rPr>
                <w:rFonts w:cs="Arial"/>
              </w:rPr>
              <w:t>100% dos colaboradores, diariamente.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Instrumento de medição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both"/>
              <w:rPr>
                <w:rFonts w:cs="Arial"/>
              </w:rPr>
            </w:pPr>
            <w:r>
              <w:rPr>
                <w:rFonts w:cs="Arial"/>
              </w:rPr>
              <w:t>Controle de ponto (vedado o ponto escrito) e conferência local.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Forma de acompanhamento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both"/>
              <w:rPr>
                <w:rFonts w:cs="Arial"/>
              </w:rPr>
            </w:pPr>
            <w:r>
              <w:rPr>
                <w:rFonts w:cs="Arial"/>
              </w:rPr>
              <w:t>Visual, pelo fiscal de contrato e através do controle de ponto.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Periodicidade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both"/>
              <w:rPr>
                <w:rFonts w:cs="Arial"/>
              </w:rPr>
            </w:pPr>
            <w:r>
              <w:rPr>
                <w:rFonts w:cs="Arial"/>
              </w:rPr>
              <w:t>Diária.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Mecanismo de Cálculo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both"/>
              <w:rPr>
                <w:rFonts w:cs="Arial"/>
              </w:rPr>
            </w:pPr>
            <w:r>
              <w:rPr>
                <w:rFonts w:cs="Arial"/>
              </w:rPr>
              <w:t>Será verificada frequência dos colaboradores e descontado conforme tabela.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Início de Vigência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both"/>
              <w:rPr>
                <w:rFonts w:cs="Arial"/>
              </w:rPr>
            </w:pPr>
            <w:r>
              <w:rPr>
                <w:rFonts w:cs="Arial"/>
              </w:rPr>
              <w:t>Conforme contrato.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Faixas de ajuste no pagamento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both"/>
              <w:rPr>
                <w:rFonts w:cs="Arial"/>
              </w:rPr>
            </w:pPr>
            <w:proofErr w:type="gramStart"/>
            <w:r>
              <w:rPr>
                <w:rFonts w:cs="Arial"/>
              </w:rPr>
              <w:t>1</w:t>
            </w:r>
            <w:proofErr w:type="gramEnd"/>
            <w:r>
              <w:rPr>
                <w:rFonts w:cs="Arial"/>
              </w:rPr>
              <w:t>) 100% dos colaboradores: 100% do valor mensal;</w:t>
            </w:r>
          </w:p>
          <w:p w:rsidR="00142475" w:rsidRDefault="00902958">
            <w:pPr>
              <w:tabs>
                <w:tab w:val="left" w:pos="0"/>
              </w:tabs>
              <w:spacing w:after="0" w:line="240" w:lineRule="auto"/>
              <w:jc w:val="both"/>
              <w:rPr>
                <w:rFonts w:cs="Arial"/>
              </w:rPr>
            </w:pPr>
            <w:proofErr w:type="gramStart"/>
            <w:r>
              <w:rPr>
                <w:rFonts w:cs="Arial"/>
              </w:rPr>
              <w:t>2</w:t>
            </w:r>
            <w:proofErr w:type="gramEnd"/>
            <w:r>
              <w:rPr>
                <w:rFonts w:cs="Arial"/>
              </w:rPr>
              <w:t>) 75% à 99,99% dos colaboradores: 98% do valor mensal;</w:t>
            </w:r>
          </w:p>
          <w:p w:rsidR="00142475" w:rsidRDefault="00902958">
            <w:pPr>
              <w:tabs>
                <w:tab w:val="left" w:pos="0"/>
              </w:tabs>
              <w:spacing w:after="0" w:line="240" w:lineRule="auto"/>
              <w:jc w:val="both"/>
              <w:rPr>
                <w:rFonts w:cs="Arial"/>
              </w:rPr>
            </w:pPr>
            <w:proofErr w:type="gramStart"/>
            <w:r>
              <w:rPr>
                <w:rFonts w:cs="Arial"/>
              </w:rPr>
              <w:t>3</w:t>
            </w:r>
            <w:proofErr w:type="gramEnd"/>
            <w:r>
              <w:rPr>
                <w:rFonts w:cs="Arial"/>
              </w:rPr>
              <w:t>) Abaixo de 75% até 60% dos colaboradores: 95% do valor mensal;</w:t>
            </w:r>
          </w:p>
          <w:p w:rsidR="00142475" w:rsidRDefault="00902958">
            <w:pPr>
              <w:tabs>
                <w:tab w:val="left" w:pos="0"/>
              </w:tabs>
              <w:spacing w:after="0" w:line="240" w:lineRule="auto"/>
              <w:jc w:val="both"/>
              <w:rPr>
                <w:rFonts w:cs="Arial"/>
              </w:rPr>
            </w:pPr>
            <w:proofErr w:type="gramStart"/>
            <w:r>
              <w:rPr>
                <w:rFonts w:cs="Arial"/>
              </w:rPr>
              <w:t>4</w:t>
            </w:r>
            <w:proofErr w:type="gramEnd"/>
            <w:r>
              <w:rPr>
                <w:rFonts w:cs="Arial"/>
              </w:rPr>
              <w:t>) Abaixo de 60% dos colaboradores: 90% do valor mensal.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Sanções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both"/>
              <w:rPr>
                <w:rFonts w:cs="Arial"/>
              </w:rPr>
            </w:pPr>
            <w:r>
              <w:rPr>
                <w:rFonts w:cs="Arial"/>
              </w:rPr>
              <w:t>Abaixo de 75% dos colaboradores – multa de 5% sobre o valor mensal;</w:t>
            </w:r>
          </w:p>
          <w:p w:rsidR="00142475" w:rsidRDefault="00902958">
            <w:pPr>
              <w:tabs>
                <w:tab w:val="left" w:pos="0"/>
              </w:tabs>
              <w:spacing w:after="0" w:line="240" w:lineRule="auto"/>
              <w:jc w:val="both"/>
              <w:rPr>
                <w:rFonts w:cs="Arial"/>
              </w:rPr>
            </w:pPr>
            <w:r>
              <w:rPr>
                <w:rFonts w:cs="Arial"/>
              </w:rPr>
              <w:t>Abaixo de 60% dos colaboradores – multa de 10% sobre o valor mensal.</w:t>
            </w:r>
          </w:p>
        </w:tc>
      </w:tr>
      <w:tr w:rsidR="00142475">
        <w:tc>
          <w:tcPr>
            <w:tcW w:w="1887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Observações</w:t>
            </w:r>
          </w:p>
        </w:tc>
        <w:tc>
          <w:tcPr>
            <w:tcW w:w="6832" w:type="dxa"/>
            <w:shd w:val="clear" w:color="auto" w:fill="auto"/>
            <w:vAlign w:val="center"/>
          </w:tcPr>
          <w:p w:rsidR="00142475" w:rsidRDefault="00902958">
            <w:pPr>
              <w:tabs>
                <w:tab w:val="left" w:pos="0"/>
              </w:tabs>
              <w:spacing w:after="0" w:line="240" w:lineRule="auto"/>
              <w:jc w:val="both"/>
              <w:rPr>
                <w:rFonts w:cs="Arial"/>
              </w:rPr>
            </w:pPr>
            <w:r>
              <w:rPr>
                <w:rFonts w:cs="Arial"/>
              </w:rPr>
              <w:t xml:space="preserve">Para ajuste de pagamento não será necessário </w:t>
            </w:r>
            <w:proofErr w:type="gramStart"/>
            <w:r>
              <w:rPr>
                <w:rFonts w:cs="Arial"/>
              </w:rPr>
              <w:t>a</w:t>
            </w:r>
            <w:proofErr w:type="gramEnd"/>
            <w:r>
              <w:rPr>
                <w:rFonts w:cs="Arial"/>
              </w:rPr>
              <w:t xml:space="preserve"> abertura de processo administrativo. Para aplicação das multas acima estabelecidas será garantida a ampla defesa e o contraditório.</w:t>
            </w:r>
          </w:p>
        </w:tc>
      </w:tr>
    </w:tbl>
    <w:p w:rsidR="00142475" w:rsidRDefault="00142475">
      <w:pPr>
        <w:tabs>
          <w:tab w:val="left" w:pos="0"/>
        </w:tabs>
        <w:spacing w:before="120" w:after="0" w:line="240" w:lineRule="auto"/>
        <w:jc w:val="both"/>
        <w:rPr>
          <w:rFonts w:cs="Arial"/>
          <w:highlight w:val="yellow"/>
        </w:rPr>
      </w:pPr>
    </w:p>
    <w:p w:rsidR="00142475" w:rsidRDefault="00902958">
      <w:pPr>
        <w:tabs>
          <w:tab w:val="left" w:pos="0"/>
        </w:tabs>
        <w:spacing w:before="120" w:after="0" w:line="240" w:lineRule="auto"/>
        <w:jc w:val="both"/>
        <w:rPr>
          <w:rFonts w:cs="Arial"/>
        </w:rPr>
      </w:pPr>
      <w:r>
        <w:rPr>
          <w:rFonts w:cs="Arial"/>
        </w:rPr>
        <w:t>Os indicadores de desempenho poderão, a qualquer tempo e em comum acordo entre as partes, ser ajustados, ampliados e/ou reduzidos, desde que estas alterações sejam devidamente formalizadas através de Termo Aditivo de Contrato.</w:t>
      </w:r>
    </w:p>
    <w:p w:rsidR="00142475" w:rsidRDefault="00902958">
      <w:pPr>
        <w:tabs>
          <w:tab w:val="left" w:pos="0"/>
        </w:tabs>
        <w:spacing w:before="120" w:after="0" w:line="240" w:lineRule="auto"/>
        <w:jc w:val="both"/>
        <w:rPr>
          <w:rFonts w:cs="Arial"/>
        </w:rPr>
      </w:pPr>
      <w:r>
        <w:rPr>
          <w:rFonts w:cs="Arial"/>
        </w:rPr>
        <w:t xml:space="preserve"> </w:t>
      </w:r>
    </w:p>
    <w:p w:rsidR="00142475" w:rsidRDefault="00142475">
      <w:pPr>
        <w:tabs>
          <w:tab w:val="left" w:pos="0"/>
        </w:tabs>
        <w:spacing w:before="120" w:after="0" w:line="240" w:lineRule="auto"/>
        <w:jc w:val="both"/>
        <w:rPr>
          <w:rFonts w:cs="Arial"/>
        </w:rPr>
      </w:pPr>
    </w:p>
    <w:p w:rsidR="00142475" w:rsidRDefault="00142475">
      <w:pPr>
        <w:tabs>
          <w:tab w:val="left" w:pos="0"/>
        </w:tabs>
        <w:spacing w:before="120" w:after="0" w:line="240" w:lineRule="auto"/>
        <w:jc w:val="both"/>
        <w:rPr>
          <w:rFonts w:cs="Arial"/>
        </w:rPr>
      </w:pPr>
    </w:p>
    <w:p w:rsidR="00142475" w:rsidRDefault="00142475">
      <w:pPr>
        <w:tabs>
          <w:tab w:val="left" w:pos="0"/>
        </w:tabs>
        <w:spacing w:before="120" w:after="0" w:line="240" w:lineRule="auto"/>
        <w:jc w:val="both"/>
      </w:pPr>
    </w:p>
    <w:sectPr w:rsidR="00142475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02C7" w:rsidRDefault="002E02C7">
      <w:pPr>
        <w:spacing w:after="0" w:line="240" w:lineRule="auto"/>
      </w:pPr>
      <w:r>
        <w:separator/>
      </w:r>
    </w:p>
  </w:endnote>
  <w:endnote w:type="continuationSeparator" w:id="0">
    <w:p w:rsidR="002E02C7" w:rsidRDefault="002E02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cofont_Spranq_eco_Sans">
    <w:altName w:val="DejaVu Sans"/>
    <w:charset w:val="00"/>
    <w:family w:val="swiss"/>
    <w:pitch w:val="variable"/>
    <w:sig w:usb0="800000AF" w:usb1="1000204A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2475" w:rsidRDefault="00902958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FARROUPILHA – </w:t>
    </w:r>
    <w:r>
      <w:rPr>
        <w:b/>
        <w:i/>
        <w:sz w:val="16"/>
        <w:szCs w:val="16"/>
      </w:rPr>
      <w:t>CAMPUS</w:t>
    </w:r>
    <w:r>
      <w:rPr>
        <w:b/>
        <w:sz w:val="16"/>
        <w:szCs w:val="16"/>
      </w:rPr>
      <w:t xml:space="preserve"> SANTO </w:t>
    </w:r>
    <w:proofErr w:type="gramStart"/>
    <w:r>
      <w:rPr>
        <w:b/>
        <w:sz w:val="16"/>
        <w:szCs w:val="16"/>
      </w:rPr>
      <w:t>ÂNGELO</w:t>
    </w:r>
    <w:proofErr w:type="gramEnd"/>
  </w:p>
  <w:p w:rsidR="00142475" w:rsidRDefault="0090295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RS 218, Km 5 – CEP 98 806-700 – Santo Ângelo/</w:t>
    </w:r>
    <w:proofErr w:type="gramStart"/>
    <w:r>
      <w:rPr>
        <w:sz w:val="16"/>
        <w:szCs w:val="16"/>
      </w:rPr>
      <w:t>RS</w:t>
    </w:r>
    <w:proofErr w:type="gramEnd"/>
  </w:p>
  <w:p w:rsidR="00142475" w:rsidRDefault="00902958">
    <w:pPr>
      <w:pStyle w:val="Rodap"/>
      <w:jc w:val="center"/>
    </w:pPr>
    <w:r>
      <w:rPr>
        <w:sz w:val="16"/>
        <w:szCs w:val="16"/>
      </w:rPr>
      <w:t>Fone: (55) 3931 3900 / E-mail:</w:t>
    </w:r>
    <w:r>
      <w:rPr>
        <w:rStyle w:val="LinkdaInternet"/>
      </w:rPr>
      <w:t xml:space="preserve"> </w:t>
    </w:r>
    <w:hyperlink r:id="rId1">
      <w:r>
        <w:rPr>
          <w:rStyle w:val="LinkdaInternet"/>
          <w:sz w:val="16"/>
          <w:szCs w:val="16"/>
        </w:rPr>
        <w:t>gabinete.san@iffarroupilha.edu.br</w:t>
      </w:r>
    </w:hyperlink>
  </w:p>
  <w:p w:rsidR="00142475" w:rsidRDefault="0014247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02C7" w:rsidRDefault="002E02C7">
      <w:pPr>
        <w:spacing w:after="0" w:line="240" w:lineRule="auto"/>
      </w:pPr>
      <w:r>
        <w:separator/>
      </w:r>
    </w:p>
  </w:footnote>
  <w:footnote w:type="continuationSeparator" w:id="0">
    <w:p w:rsidR="002E02C7" w:rsidRDefault="002E02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2475" w:rsidRDefault="00902958">
    <w:pPr>
      <w:pStyle w:val="Legenda"/>
      <w:spacing w:before="0" w:after="0" w:line="240" w:lineRule="auto"/>
      <w:jc w:val="center"/>
    </w:pPr>
    <w:r>
      <w:rPr>
        <w:noProof/>
        <w:lang w:eastAsia="pt-BR"/>
      </w:rPr>
      <w:drawing>
        <wp:inline distT="0" distB="0" distL="0" distR="0">
          <wp:extent cx="723900" cy="723900"/>
          <wp:effectExtent l="0" t="0" r="0" b="0"/>
          <wp:docPr id="1" name="Imagem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5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42475" w:rsidRDefault="00902958">
    <w:pPr>
      <w:spacing w:after="0" w:line="240" w:lineRule="auto"/>
      <w:jc w:val="center"/>
      <w:rPr>
        <w:b/>
      </w:rPr>
    </w:pPr>
    <w:r>
      <w:rPr>
        <w:b/>
      </w:rPr>
      <w:t>MINISTÉRIO DA EDUCAÇÃO</w:t>
    </w:r>
  </w:p>
  <w:p w:rsidR="00142475" w:rsidRDefault="00902958">
    <w:pPr>
      <w:spacing w:after="0" w:line="240" w:lineRule="auto"/>
      <w:jc w:val="center"/>
      <w:rPr>
        <w:b/>
        <w:sz w:val="16"/>
      </w:rPr>
    </w:pPr>
    <w:r>
      <w:rPr>
        <w:b/>
        <w:sz w:val="16"/>
      </w:rPr>
      <w:t>INSTITUTO FEDERAL FARROUPILHA</w:t>
    </w:r>
  </w:p>
  <w:p w:rsidR="00142475" w:rsidRDefault="00902958">
    <w:pPr>
      <w:spacing w:after="0" w:line="240" w:lineRule="auto"/>
      <w:jc w:val="center"/>
    </w:pPr>
    <w:r>
      <w:rPr>
        <w:b/>
        <w:i/>
        <w:sz w:val="16"/>
      </w:rPr>
      <w:t>CAMPUS</w:t>
    </w:r>
    <w:r>
      <w:rPr>
        <w:b/>
        <w:sz w:val="16"/>
      </w:rPr>
      <w:t xml:space="preserve"> SANTO ÂNGELO</w:t>
    </w:r>
  </w:p>
  <w:p w:rsidR="00142475" w:rsidRDefault="00142475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475"/>
    <w:rsid w:val="00142475"/>
    <w:rsid w:val="002E02C7"/>
    <w:rsid w:val="003C2073"/>
    <w:rsid w:val="00902958"/>
    <w:rsid w:val="00B10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5CAA"/>
    <w:pPr>
      <w:suppressAutoHyphens/>
      <w:spacing w:after="200" w:line="276" w:lineRule="auto"/>
    </w:pPr>
    <w:rPr>
      <w:rFonts w:eastAsia="SimSun" w:cs="Calibri"/>
    </w:rPr>
  </w:style>
  <w:style w:type="paragraph" w:styleId="Ttulo1">
    <w:name w:val="heading 1"/>
    <w:basedOn w:val="Normal"/>
    <w:next w:val="Normal"/>
    <w:link w:val="Ttulo1Char"/>
    <w:uiPriority w:val="9"/>
    <w:qFormat/>
    <w:rsid w:val="003C207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EB5CAA"/>
    <w:rPr>
      <w:rFonts w:ascii="Calibri" w:eastAsia="SimSun" w:hAnsi="Calibri" w:cs="Calibri"/>
    </w:rPr>
  </w:style>
  <w:style w:type="character" w:customStyle="1" w:styleId="RodapChar">
    <w:name w:val="Rodapé Char"/>
    <w:basedOn w:val="Fontepargpadro"/>
    <w:link w:val="Rodap"/>
    <w:uiPriority w:val="99"/>
    <w:qFormat/>
    <w:rsid w:val="00EB5CAA"/>
    <w:rPr>
      <w:rFonts w:ascii="Calibri" w:eastAsia="SimSun" w:hAnsi="Calibri" w:cs="Calibri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B5CAA"/>
    <w:rPr>
      <w:rFonts w:ascii="Tahoma" w:eastAsia="SimSun" w:hAnsi="Tahoma" w:cs="Tahoma"/>
      <w:sz w:val="16"/>
      <w:szCs w:val="16"/>
    </w:rPr>
  </w:style>
  <w:style w:type="character" w:customStyle="1" w:styleId="LinkdaInternet">
    <w:name w:val="Link da Internet"/>
    <w:basedOn w:val="Fontepargpadro"/>
    <w:uiPriority w:val="99"/>
    <w:unhideWhenUsed/>
    <w:rsid w:val="00EB5CAA"/>
    <w:rPr>
      <w:color w:val="0000FF" w:themeColor="hyperlink"/>
      <w:u w:val="single"/>
    </w:rPr>
  </w:style>
  <w:style w:type="character" w:customStyle="1" w:styleId="GradeColorida-nfase1Char">
    <w:name w:val="Grade Colorida - Ênfase 1 Char"/>
    <w:uiPriority w:val="29"/>
    <w:qFormat/>
    <w:rsid w:val="00A51FAC"/>
    <w:rPr>
      <w:rFonts w:ascii="Ecofont_Spranq_eco_Sans" w:eastAsia="Calibri" w:hAnsi="Ecofont_Spranq_eco_Sans" w:cs="Tahoma"/>
      <w:i/>
      <w:iCs/>
      <w:color w:val="000000"/>
      <w:sz w:val="20"/>
      <w:szCs w:val="24"/>
      <w:shd w:val="clear" w:color="auto" w:fill="FFFFCC"/>
    </w:rPr>
  </w:style>
  <w:style w:type="character" w:customStyle="1" w:styleId="ListLabel1">
    <w:name w:val="ListLabel 1"/>
    <w:qFormat/>
    <w:rPr>
      <w:b w:val="0"/>
    </w:rPr>
  </w:style>
  <w:style w:type="character" w:customStyle="1" w:styleId="ListLabel2">
    <w:name w:val="ListLabel 2"/>
    <w:qFormat/>
    <w:rPr>
      <w:b w:val="0"/>
    </w:rPr>
  </w:style>
  <w:style w:type="character" w:customStyle="1" w:styleId="ListLabel3">
    <w:name w:val="ListLabel 3"/>
    <w:qFormat/>
    <w:rPr>
      <w:b/>
      <w:color w:val="000000"/>
    </w:rPr>
  </w:style>
  <w:style w:type="character" w:customStyle="1" w:styleId="ListLabel4">
    <w:name w:val="ListLabel 4"/>
    <w:qFormat/>
    <w:rPr>
      <w:b w:val="0"/>
      <w:color w:val="000000"/>
    </w:rPr>
  </w:style>
  <w:style w:type="character" w:customStyle="1" w:styleId="ListLabel5">
    <w:name w:val="ListLabel 5"/>
    <w:qFormat/>
    <w:rPr>
      <w:b/>
      <w:color w:val="000000"/>
    </w:rPr>
  </w:style>
  <w:style w:type="character" w:customStyle="1" w:styleId="ListLabel6">
    <w:name w:val="ListLabel 6"/>
    <w:qFormat/>
    <w:rPr>
      <w:b/>
      <w:color w:val="000000"/>
    </w:rPr>
  </w:style>
  <w:style w:type="character" w:customStyle="1" w:styleId="ListLabel7">
    <w:name w:val="ListLabel 7"/>
    <w:qFormat/>
    <w:rPr>
      <w:b/>
      <w:color w:val="000000"/>
    </w:rPr>
  </w:style>
  <w:style w:type="character" w:customStyle="1" w:styleId="ListLabel8">
    <w:name w:val="ListLabel 8"/>
    <w:qFormat/>
    <w:rPr>
      <w:b/>
      <w:color w:val="000000"/>
    </w:rPr>
  </w:style>
  <w:style w:type="character" w:customStyle="1" w:styleId="ListLabel9">
    <w:name w:val="ListLabel 9"/>
    <w:qFormat/>
    <w:rPr>
      <w:b/>
      <w:color w:val="000000"/>
    </w:rPr>
  </w:style>
  <w:style w:type="character" w:customStyle="1" w:styleId="ListLabel10">
    <w:name w:val="ListLabel 10"/>
    <w:qFormat/>
    <w:rPr>
      <w:b/>
      <w:color w:val="000000"/>
    </w:rPr>
  </w:style>
  <w:style w:type="character" w:customStyle="1" w:styleId="ListLabel11">
    <w:name w:val="ListLabel 11"/>
    <w:qFormat/>
    <w:rPr>
      <w:b/>
      <w:color w:val="000000"/>
    </w:rPr>
  </w:style>
  <w:style w:type="character" w:customStyle="1" w:styleId="ListLabel12">
    <w:name w:val="ListLabel 12"/>
    <w:qFormat/>
    <w:rPr>
      <w:b w:val="0"/>
    </w:rPr>
  </w:style>
  <w:style w:type="character" w:customStyle="1" w:styleId="ListLabel13">
    <w:name w:val="ListLabel 13"/>
    <w:qFormat/>
    <w:rPr>
      <w:b/>
    </w:rPr>
  </w:style>
  <w:style w:type="character" w:customStyle="1" w:styleId="ListLabel14">
    <w:name w:val="ListLabel 14"/>
    <w:qFormat/>
    <w:rPr>
      <w:b w:val="0"/>
      <w:i w:val="0"/>
      <w:color w:val="auto"/>
    </w:rPr>
  </w:style>
  <w:style w:type="character" w:customStyle="1" w:styleId="ListLabel15">
    <w:name w:val="ListLabel 15"/>
    <w:qFormat/>
    <w:rPr>
      <w:b w:val="0"/>
      <w:i w:val="0"/>
      <w:color w:val="auto"/>
    </w:rPr>
  </w:style>
  <w:style w:type="character" w:customStyle="1" w:styleId="ListLabel16">
    <w:name w:val="ListLabel 16"/>
    <w:qFormat/>
    <w:rPr>
      <w:b/>
      <w:i w:val="0"/>
      <w:color w:val="auto"/>
    </w:rPr>
  </w:style>
  <w:style w:type="character" w:customStyle="1" w:styleId="ListLabel17">
    <w:name w:val="ListLabel 17"/>
    <w:qFormat/>
    <w:rPr>
      <w:b w:val="0"/>
      <w:i w:val="0"/>
      <w:color w:val="auto"/>
    </w:rPr>
  </w:style>
  <w:style w:type="character" w:customStyle="1" w:styleId="ListLabel18">
    <w:name w:val="ListLabel 18"/>
    <w:qFormat/>
    <w:rPr>
      <w:b w:val="0"/>
      <w:i w:val="0"/>
    </w:rPr>
  </w:style>
  <w:style w:type="character" w:customStyle="1" w:styleId="ListLabel19">
    <w:name w:val="ListLabel 19"/>
    <w:qFormat/>
    <w:rPr>
      <w:b w:val="0"/>
      <w:i w:val="0"/>
    </w:rPr>
  </w:style>
  <w:style w:type="character" w:customStyle="1" w:styleId="ListLabel20">
    <w:name w:val="ListLabel 20"/>
    <w:qFormat/>
    <w:rPr>
      <w:b/>
      <w:i w:val="0"/>
    </w:rPr>
  </w:style>
  <w:style w:type="character" w:customStyle="1" w:styleId="ListLabel21">
    <w:name w:val="ListLabel 21"/>
    <w:qFormat/>
    <w:rPr>
      <w:b w:val="0"/>
    </w:rPr>
  </w:style>
  <w:style w:type="character" w:customStyle="1" w:styleId="ListLabel22">
    <w:name w:val="ListLabel 22"/>
    <w:qFormat/>
    <w:rPr>
      <w:rFonts w:eastAsia="SimSun"/>
    </w:rPr>
  </w:style>
  <w:style w:type="character" w:customStyle="1" w:styleId="ListLabel23">
    <w:name w:val="ListLabel 23"/>
    <w:qFormat/>
    <w:rPr>
      <w:rFonts w:eastAsia="SimSun"/>
    </w:rPr>
  </w:style>
  <w:style w:type="character" w:customStyle="1" w:styleId="ListLabel24">
    <w:name w:val="ListLabel 24"/>
    <w:qFormat/>
    <w:rPr>
      <w:rFonts w:eastAsia="SimSun"/>
    </w:rPr>
  </w:style>
  <w:style w:type="character" w:customStyle="1" w:styleId="ListLabel25">
    <w:name w:val="ListLabel 25"/>
    <w:qFormat/>
    <w:rPr>
      <w:rFonts w:eastAsia="SimSun"/>
    </w:rPr>
  </w:style>
  <w:style w:type="character" w:customStyle="1" w:styleId="ListLabel26">
    <w:name w:val="ListLabel 26"/>
    <w:qFormat/>
    <w:rPr>
      <w:rFonts w:eastAsia="SimSun"/>
    </w:rPr>
  </w:style>
  <w:style w:type="character" w:customStyle="1" w:styleId="ListLabel27">
    <w:name w:val="ListLabel 27"/>
    <w:qFormat/>
    <w:rPr>
      <w:rFonts w:eastAsia="SimSun"/>
    </w:rPr>
  </w:style>
  <w:style w:type="character" w:customStyle="1" w:styleId="ListLabel28">
    <w:name w:val="ListLabel 28"/>
    <w:qFormat/>
    <w:rPr>
      <w:rFonts w:eastAsia="SimSun"/>
    </w:rPr>
  </w:style>
  <w:style w:type="character" w:customStyle="1" w:styleId="ListLabel29">
    <w:name w:val="ListLabel 29"/>
    <w:qFormat/>
    <w:rPr>
      <w:rFonts w:eastAsia="SimSun"/>
    </w:rPr>
  </w:style>
  <w:style w:type="character" w:customStyle="1" w:styleId="ListLabel30">
    <w:name w:val="ListLabel 30"/>
    <w:qFormat/>
    <w:rPr>
      <w:rFonts w:eastAsia="SimSun"/>
    </w:rPr>
  </w:style>
  <w:style w:type="character" w:customStyle="1" w:styleId="ListLabel31">
    <w:name w:val="ListLabel 31"/>
    <w:qFormat/>
    <w:rPr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rsid w:val="00EB5CA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styleId="PargrafodaLista">
    <w:name w:val="List Paragraph"/>
    <w:basedOn w:val="Normal"/>
    <w:qFormat/>
    <w:rsid w:val="00EB5CAA"/>
    <w:pPr>
      <w:ind w:left="720"/>
      <w:contextualSpacing/>
    </w:pPr>
    <w:rPr>
      <w:rFonts w:eastAsia="Calibri" w:cs="Times New Roman"/>
    </w:rPr>
  </w:style>
  <w:style w:type="paragraph" w:styleId="Cabealho">
    <w:name w:val="header"/>
    <w:basedOn w:val="Normal"/>
    <w:link w:val="CabealhoChar"/>
    <w:uiPriority w:val="99"/>
    <w:unhideWhenUsed/>
    <w:rsid w:val="00EB5CAA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EB5CAA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B5CAA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GradeColorida-nfase11">
    <w:name w:val="Grade Colorida - Ênfase 11"/>
    <w:basedOn w:val="Normal"/>
    <w:next w:val="Normal"/>
    <w:uiPriority w:val="29"/>
    <w:qFormat/>
    <w:rsid w:val="00A51FA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 w:val="0"/>
      <w:spacing w:before="120" w:after="0" w:line="240" w:lineRule="auto"/>
      <w:jc w:val="both"/>
    </w:pPr>
    <w:rPr>
      <w:rFonts w:ascii="Ecofont_Spranq_eco_Sans" w:eastAsia="Calibri" w:hAnsi="Ecofont_Spranq_eco_Sans" w:cs="Tahoma"/>
      <w:i/>
      <w:iCs/>
      <w:color w:val="000000"/>
      <w:sz w:val="20"/>
      <w:szCs w:val="24"/>
    </w:rPr>
  </w:style>
  <w:style w:type="paragraph" w:customStyle="1" w:styleId="SalisParagrafoNormal">
    <w:name w:val="SalisParagrafoNormal"/>
    <w:qFormat/>
    <w:rsid w:val="00A12C71"/>
    <w:pPr>
      <w:suppressAutoHyphens/>
      <w:spacing w:after="120"/>
      <w:ind w:firstLine="709"/>
      <w:jc w:val="both"/>
    </w:pPr>
    <w:rPr>
      <w:rFonts w:ascii="Arial" w:eastAsia="Times New Roman" w:hAnsi="Arial" w:cs="Arial"/>
      <w:szCs w:val="20"/>
      <w:lang w:eastAsia="zh-CN"/>
    </w:rPr>
  </w:style>
  <w:style w:type="table" w:styleId="Tabelacomgrade">
    <w:name w:val="Table Grid"/>
    <w:basedOn w:val="Tabelanormal"/>
    <w:uiPriority w:val="59"/>
    <w:rsid w:val="00F41C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1">
    <w:name w:val="Nivel1"/>
    <w:basedOn w:val="Ttulo1"/>
    <w:link w:val="Nivel1Char"/>
    <w:qFormat/>
    <w:rsid w:val="003C2073"/>
    <w:pPr>
      <w:suppressAutoHyphens w:val="0"/>
      <w:ind w:left="357" w:hanging="357"/>
      <w:jc w:val="both"/>
    </w:pPr>
    <w:rPr>
      <w:rFonts w:ascii="Arial" w:hAnsi="Arial" w:cs="Arial"/>
      <w:bCs w:val="0"/>
      <w:color w:val="000000"/>
      <w:sz w:val="32"/>
      <w:szCs w:val="20"/>
      <w:lang w:eastAsia="pt-BR"/>
    </w:rPr>
  </w:style>
  <w:style w:type="character" w:customStyle="1" w:styleId="Nivel1Char">
    <w:name w:val="Nivel1 Char"/>
    <w:basedOn w:val="Ttulo1Char"/>
    <w:link w:val="Nivel1"/>
    <w:qFormat/>
    <w:rsid w:val="003C2073"/>
    <w:rPr>
      <w:rFonts w:ascii="Arial" w:eastAsiaTheme="majorEastAsia" w:hAnsi="Arial" w:cs="Arial"/>
      <w:b/>
      <w:bCs w:val="0"/>
      <w:color w:val="000000"/>
      <w:sz w:val="32"/>
      <w:szCs w:val="20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3C20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5CAA"/>
    <w:pPr>
      <w:suppressAutoHyphens/>
      <w:spacing w:after="200" w:line="276" w:lineRule="auto"/>
    </w:pPr>
    <w:rPr>
      <w:rFonts w:eastAsia="SimSun" w:cs="Calibri"/>
    </w:rPr>
  </w:style>
  <w:style w:type="paragraph" w:styleId="Ttulo1">
    <w:name w:val="heading 1"/>
    <w:basedOn w:val="Normal"/>
    <w:next w:val="Normal"/>
    <w:link w:val="Ttulo1Char"/>
    <w:uiPriority w:val="9"/>
    <w:qFormat/>
    <w:rsid w:val="003C207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EB5CAA"/>
    <w:rPr>
      <w:rFonts w:ascii="Calibri" w:eastAsia="SimSun" w:hAnsi="Calibri" w:cs="Calibri"/>
    </w:rPr>
  </w:style>
  <w:style w:type="character" w:customStyle="1" w:styleId="RodapChar">
    <w:name w:val="Rodapé Char"/>
    <w:basedOn w:val="Fontepargpadro"/>
    <w:link w:val="Rodap"/>
    <w:uiPriority w:val="99"/>
    <w:qFormat/>
    <w:rsid w:val="00EB5CAA"/>
    <w:rPr>
      <w:rFonts w:ascii="Calibri" w:eastAsia="SimSun" w:hAnsi="Calibri" w:cs="Calibri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B5CAA"/>
    <w:rPr>
      <w:rFonts w:ascii="Tahoma" w:eastAsia="SimSun" w:hAnsi="Tahoma" w:cs="Tahoma"/>
      <w:sz w:val="16"/>
      <w:szCs w:val="16"/>
    </w:rPr>
  </w:style>
  <w:style w:type="character" w:customStyle="1" w:styleId="LinkdaInternet">
    <w:name w:val="Link da Internet"/>
    <w:basedOn w:val="Fontepargpadro"/>
    <w:uiPriority w:val="99"/>
    <w:unhideWhenUsed/>
    <w:rsid w:val="00EB5CAA"/>
    <w:rPr>
      <w:color w:val="0000FF" w:themeColor="hyperlink"/>
      <w:u w:val="single"/>
    </w:rPr>
  </w:style>
  <w:style w:type="character" w:customStyle="1" w:styleId="GradeColorida-nfase1Char">
    <w:name w:val="Grade Colorida - Ênfase 1 Char"/>
    <w:uiPriority w:val="29"/>
    <w:qFormat/>
    <w:rsid w:val="00A51FAC"/>
    <w:rPr>
      <w:rFonts w:ascii="Ecofont_Spranq_eco_Sans" w:eastAsia="Calibri" w:hAnsi="Ecofont_Spranq_eco_Sans" w:cs="Tahoma"/>
      <w:i/>
      <w:iCs/>
      <w:color w:val="000000"/>
      <w:sz w:val="20"/>
      <w:szCs w:val="24"/>
      <w:shd w:val="clear" w:color="auto" w:fill="FFFFCC"/>
    </w:rPr>
  </w:style>
  <w:style w:type="character" w:customStyle="1" w:styleId="ListLabel1">
    <w:name w:val="ListLabel 1"/>
    <w:qFormat/>
    <w:rPr>
      <w:b w:val="0"/>
    </w:rPr>
  </w:style>
  <w:style w:type="character" w:customStyle="1" w:styleId="ListLabel2">
    <w:name w:val="ListLabel 2"/>
    <w:qFormat/>
    <w:rPr>
      <w:b w:val="0"/>
    </w:rPr>
  </w:style>
  <w:style w:type="character" w:customStyle="1" w:styleId="ListLabel3">
    <w:name w:val="ListLabel 3"/>
    <w:qFormat/>
    <w:rPr>
      <w:b/>
      <w:color w:val="000000"/>
    </w:rPr>
  </w:style>
  <w:style w:type="character" w:customStyle="1" w:styleId="ListLabel4">
    <w:name w:val="ListLabel 4"/>
    <w:qFormat/>
    <w:rPr>
      <w:b w:val="0"/>
      <w:color w:val="000000"/>
    </w:rPr>
  </w:style>
  <w:style w:type="character" w:customStyle="1" w:styleId="ListLabel5">
    <w:name w:val="ListLabel 5"/>
    <w:qFormat/>
    <w:rPr>
      <w:b/>
      <w:color w:val="000000"/>
    </w:rPr>
  </w:style>
  <w:style w:type="character" w:customStyle="1" w:styleId="ListLabel6">
    <w:name w:val="ListLabel 6"/>
    <w:qFormat/>
    <w:rPr>
      <w:b/>
      <w:color w:val="000000"/>
    </w:rPr>
  </w:style>
  <w:style w:type="character" w:customStyle="1" w:styleId="ListLabel7">
    <w:name w:val="ListLabel 7"/>
    <w:qFormat/>
    <w:rPr>
      <w:b/>
      <w:color w:val="000000"/>
    </w:rPr>
  </w:style>
  <w:style w:type="character" w:customStyle="1" w:styleId="ListLabel8">
    <w:name w:val="ListLabel 8"/>
    <w:qFormat/>
    <w:rPr>
      <w:b/>
      <w:color w:val="000000"/>
    </w:rPr>
  </w:style>
  <w:style w:type="character" w:customStyle="1" w:styleId="ListLabel9">
    <w:name w:val="ListLabel 9"/>
    <w:qFormat/>
    <w:rPr>
      <w:b/>
      <w:color w:val="000000"/>
    </w:rPr>
  </w:style>
  <w:style w:type="character" w:customStyle="1" w:styleId="ListLabel10">
    <w:name w:val="ListLabel 10"/>
    <w:qFormat/>
    <w:rPr>
      <w:b/>
      <w:color w:val="000000"/>
    </w:rPr>
  </w:style>
  <w:style w:type="character" w:customStyle="1" w:styleId="ListLabel11">
    <w:name w:val="ListLabel 11"/>
    <w:qFormat/>
    <w:rPr>
      <w:b/>
      <w:color w:val="000000"/>
    </w:rPr>
  </w:style>
  <w:style w:type="character" w:customStyle="1" w:styleId="ListLabel12">
    <w:name w:val="ListLabel 12"/>
    <w:qFormat/>
    <w:rPr>
      <w:b w:val="0"/>
    </w:rPr>
  </w:style>
  <w:style w:type="character" w:customStyle="1" w:styleId="ListLabel13">
    <w:name w:val="ListLabel 13"/>
    <w:qFormat/>
    <w:rPr>
      <w:b/>
    </w:rPr>
  </w:style>
  <w:style w:type="character" w:customStyle="1" w:styleId="ListLabel14">
    <w:name w:val="ListLabel 14"/>
    <w:qFormat/>
    <w:rPr>
      <w:b w:val="0"/>
      <w:i w:val="0"/>
      <w:color w:val="auto"/>
    </w:rPr>
  </w:style>
  <w:style w:type="character" w:customStyle="1" w:styleId="ListLabel15">
    <w:name w:val="ListLabel 15"/>
    <w:qFormat/>
    <w:rPr>
      <w:b w:val="0"/>
      <w:i w:val="0"/>
      <w:color w:val="auto"/>
    </w:rPr>
  </w:style>
  <w:style w:type="character" w:customStyle="1" w:styleId="ListLabel16">
    <w:name w:val="ListLabel 16"/>
    <w:qFormat/>
    <w:rPr>
      <w:b/>
      <w:i w:val="0"/>
      <w:color w:val="auto"/>
    </w:rPr>
  </w:style>
  <w:style w:type="character" w:customStyle="1" w:styleId="ListLabel17">
    <w:name w:val="ListLabel 17"/>
    <w:qFormat/>
    <w:rPr>
      <w:b w:val="0"/>
      <w:i w:val="0"/>
      <w:color w:val="auto"/>
    </w:rPr>
  </w:style>
  <w:style w:type="character" w:customStyle="1" w:styleId="ListLabel18">
    <w:name w:val="ListLabel 18"/>
    <w:qFormat/>
    <w:rPr>
      <w:b w:val="0"/>
      <w:i w:val="0"/>
    </w:rPr>
  </w:style>
  <w:style w:type="character" w:customStyle="1" w:styleId="ListLabel19">
    <w:name w:val="ListLabel 19"/>
    <w:qFormat/>
    <w:rPr>
      <w:b w:val="0"/>
      <w:i w:val="0"/>
    </w:rPr>
  </w:style>
  <w:style w:type="character" w:customStyle="1" w:styleId="ListLabel20">
    <w:name w:val="ListLabel 20"/>
    <w:qFormat/>
    <w:rPr>
      <w:b/>
      <w:i w:val="0"/>
    </w:rPr>
  </w:style>
  <w:style w:type="character" w:customStyle="1" w:styleId="ListLabel21">
    <w:name w:val="ListLabel 21"/>
    <w:qFormat/>
    <w:rPr>
      <w:b w:val="0"/>
    </w:rPr>
  </w:style>
  <w:style w:type="character" w:customStyle="1" w:styleId="ListLabel22">
    <w:name w:val="ListLabel 22"/>
    <w:qFormat/>
    <w:rPr>
      <w:rFonts w:eastAsia="SimSun"/>
    </w:rPr>
  </w:style>
  <w:style w:type="character" w:customStyle="1" w:styleId="ListLabel23">
    <w:name w:val="ListLabel 23"/>
    <w:qFormat/>
    <w:rPr>
      <w:rFonts w:eastAsia="SimSun"/>
    </w:rPr>
  </w:style>
  <w:style w:type="character" w:customStyle="1" w:styleId="ListLabel24">
    <w:name w:val="ListLabel 24"/>
    <w:qFormat/>
    <w:rPr>
      <w:rFonts w:eastAsia="SimSun"/>
    </w:rPr>
  </w:style>
  <w:style w:type="character" w:customStyle="1" w:styleId="ListLabel25">
    <w:name w:val="ListLabel 25"/>
    <w:qFormat/>
    <w:rPr>
      <w:rFonts w:eastAsia="SimSun"/>
    </w:rPr>
  </w:style>
  <w:style w:type="character" w:customStyle="1" w:styleId="ListLabel26">
    <w:name w:val="ListLabel 26"/>
    <w:qFormat/>
    <w:rPr>
      <w:rFonts w:eastAsia="SimSun"/>
    </w:rPr>
  </w:style>
  <w:style w:type="character" w:customStyle="1" w:styleId="ListLabel27">
    <w:name w:val="ListLabel 27"/>
    <w:qFormat/>
    <w:rPr>
      <w:rFonts w:eastAsia="SimSun"/>
    </w:rPr>
  </w:style>
  <w:style w:type="character" w:customStyle="1" w:styleId="ListLabel28">
    <w:name w:val="ListLabel 28"/>
    <w:qFormat/>
    <w:rPr>
      <w:rFonts w:eastAsia="SimSun"/>
    </w:rPr>
  </w:style>
  <w:style w:type="character" w:customStyle="1" w:styleId="ListLabel29">
    <w:name w:val="ListLabel 29"/>
    <w:qFormat/>
    <w:rPr>
      <w:rFonts w:eastAsia="SimSun"/>
    </w:rPr>
  </w:style>
  <w:style w:type="character" w:customStyle="1" w:styleId="ListLabel30">
    <w:name w:val="ListLabel 30"/>
    <w:qFormat/>
    <w:rPr>
      <w:rFonts w:eastAsia="SimSun"/>
    </w:rPr>
  </w:style>
  <w:style w:type="character" w:customStyle="1" w:styleId="ListLabel31">
    <w:name w:val="ListLabel 31"/>
    <w:qFormat/>
    <w:rPr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rsid w:val="00EB5CA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styleId="PargrafodaLista">
    <w:name w:val="List Paragraph"/>
    <w:basedOn w:val="Normal"/>
    <w:qFormat/>
    <w:rsid w:val="00EB5CAA"/>
    <w:pPr>
      <w:ind w:left="720"/>
      <w:contextualSpacing/>
    </w:pPr>
    <w:rPr>
      <w:rFonts w:eastAsia="Calibri" w:cs="Times New Roman"/>
    </w:rPr>
  </w:style>
  <w:style w:type="paragraph" w:styleId="Cabealho">
    <w:name w:val="header"/>
    <w:basedOn w:val="Normal"/>
    <w:link w:val="CabealhoChar"/>
    <w:uiPriority w:val="99"/>
    <w:unhideWhenUsed/>
    <w:rsid w:val="00EB5CAA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EB5CAA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B5CAA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GradeColorida-nfase11">
    <w:name w:val="Grade Colorida - Ênfase 11"/>
    <w:basedOn w:val="Normal"/>
    <w:next w:val="Normal"/>
    <w:uiPriority w:val="29"/>
    <w:qFormat/>
    <w:rsid w:val="00A51FA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 w:val="0"/>
      <w:spacing w:before="120" w:after="0" w:line="240" w:lineRule="auto"/>
      <w:jc w:val="both"/>
    </w:pPr>
    <w:rPr>
      <w:rFonts w:ascii="Ecofont_Spranq_eco_Sans" w:eastAsia="Calibri" w:hAnsi="Ecofont_Spranq_eco_Sans" w:cs="Tahoma"/>
      <w:i/>
      <w:iCs/>
      <w:color w:val="000000"/>
      <w:sz w:val="20"/>
      <w:szCs w:val="24"/>
    </w:rPr>
  </w:style>
  <w:style w:type="paragraph" w:customStyle="1" w:styleId="SalisParagrafoNormal">
    <w:name w:val="SalisParagrafoNormal"/>
    <w:qFormat/>
    <w:rsid w:val="00A12C71"/>
    <w:pPr>
      <w:suppressAutoHyphens/>
      <w:spacing w:after="120"/>
      <w:ind w:firstLine="709"/>
      <w:jc w:val="both"/>
    </w:pPr>
    <w:rPr>
      <w:rFonts w:ascii="Arial" w:eastAsia="Times New Roman" w:hAnsi="Arial" w:cs="Arial"/>
      <w:szCs w:val="20"/>
      <w:lang w:eastAsia="zh-CN"/>
    </w:rPr>
  </w:style>
  <w:style w:type="table" w:styleId="Tabelacomgrade">
    <w:name w:val="Table Grid"/>
    <w:basedOn w:val="Tabelanormal"/>
    <w:uiPriority w:val="59"/>
    <w:rsid w:val="00F41C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1">
    <w:name w:val="Nivel1"/>
    <w:basedOn w:val="Ttulo1"/>
    <w:link w:val="Nivel1Char"/>
    <w:qFormat/>
    <w:rsid w:val="003C2073"/>
    <w:pPr>
      <w:suppressAutoHyphens w:val="0"/>
      <w:ind w:left="357" w:hanging="357"/>
      <w:jc w:val="both"/>
    </w:pPr>
    <w:rPr>
      <w:rFonts w:ascii="Arial" w:hAnsi="Arial" w:cs="Arial"/>
      <w:bCs w:val="0"/>
      <w:color w:val="000000"/>
      <w:sz w:val="32"/>
      <w:szCs w:val="20"/>
      <w:lang w:eastAsia="pt-BR"/>
    </w:rPr>
  </w:style>
  <w:style w:type="character" w:customStyle="1" w:styleId="Nivel1Char">
    <w:name w:val="Nivel1 Char"/>
    <w:basedOn w:val="Ttulo1Char"/>
    <w:link w:val="Nivel1"/>
    <w:qFormat/>
    <w:rsid w:val="003C2073"/>
    <w:rPr>
      <w:rFonts w:ascii="Arial" w:eastAsiaTheme="majorEastAsia" w:hAnsi="Arial" w:cs="Arial"/>
      <w:b/>
      <w:bCs w:val="0"/>
      <w:color w:val="000000"/>
      <w:sz w:val="32"/>
      <w:szCs w:val="20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3C20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an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897</TotalTime>
  <Pages>2</Pages>
  <Words>500</Words>
  <Characters>2703</Characters>
  <Application>Microsoft Office Word</Application>
  <DocSecurity>0</DocSecurity>
  <Lines>22</Lines>
  <Paragraphs>6</Paragraphs>
  <ScaleCrop>false</ScaleCrop>
  <Company/>
  <LinksUpToDate>false</LinksUpToDate>
  <CharactersWithSpaces>3197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Adriana Henning</cp:lastModifiedBy>
  <cp:revision>75</cp:revision>
  <cp:lastPrinted>2017-01-24T12:17:00Z</cp:lastPrinted>
  <dcterms:created xsi:type="dcterms:W3CDTF">2017-01-17T09:21:00Z</dcterms:created>
  <dcterms:modified xsi:type="dcterms:W3CDTF">2020-08-17T13:25:00Z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