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ind w:right="-30" w:firstLine="54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r>
    </w:p>
    <w:p>
      <w:pPr>
        <w:pStyle w:val="Standard"/>
        <w:spacing w:lineRule="auto" w:line="360"/>
        <w:ind w:right="-30" w:firstLine="540"/>
        <w:jc w:val="center"/>
        <w:rPr/>
      </w:pPr>
      <w:r>
        <w:rPr>
          <w:rFonts w:cs="Times New Roman" w:ascii="Times New Roman" w:hAnsi="Times New Roman"/>
          <w:b/>
          <w:color w:val="000000"/>
          <w:sz w:val="22"/>
          <w:szCs w:val="22"/>
        </w:rPr>
        <w:t>CHAMADA PÚBLICA PARA AQUISIÇÃO DE GÊNEROS ALIMENTÍCIOS      DI</w:t>
      </w:r>
      <w:r>
        <w:rPr>
          <w:rFonts w:eastAsia="Times New Roman" w:cs="Times New Roman" w:ascii="Times New Roman" w:hAnsi="Times New Roman"/>
          <w:b/>
          <w:color w:val="000000"/>
          <w:kern w:val="2"/>
          <w:sz w:val="22"/>
          <w:szCs w:val="22"/>
          <w:lang w:val="pt-BR" w:eastAsia="pt-BR" w:bidi="ar-SA"/>
        </w:rPr>
        <w:t>RETAMENTE DA AGRICULTURA FAMILIAR E DO EMPREENDEDOR FAMILIAR R</w:t>
      </w:r>
      <w:r>
        <w:rPr>
          <w:rFonts w:cs="Times New Roman" w:ascii="Times New Roman" w:hAnsi="Times New Roman"/>
          <w:b/>
          <w:color w:val="000000"/>
          <w:sz w:val="22"/>
          <w:szCs w:val="22"/>
        </w:rPr>
        <w:t>URAL PARA ALIMENTAÇÃO</w:t>
      </w:r>
    </w:p>
    <w:p>
      <w:pPr>
        <w:pStyle w:val="Standard"/>
        <w:spacing w:lineRule="auto" w:line="360"/>
        <w:ind w:right="-15" w:hanging="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ESCOLAR PARA O IF FARROUPILHA – CÂMPUS PANAMBI</w:t>
      </w:r>
    </w:p>
    <w:p>
      <w:pPr>
        <w:pStyle w:val="Standard"/>
        <w:spacing w:lineRule="auto" w:line="360"/>
        <w:ind w:right="-15" w:hanging="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r>
    </w:p>
    <w:p>
      <w:pPr>
        <w:pStyle w:val="Normal"/>
        <w:tabs>
          <w:tab w:val="left" w:pos="2815" w:leader="none"/>
          <w:tab w:val="center" w:pos="4252" w:leader="none"/>
        </w:tabs>
        <w:spacing w:lineRule="auto" w:line="240" w:beforeAutospacing="1" w:afterAutospacing="1"/>
        <w:jc w:val="center"/>
        <w:rPr/>
      </w:pPr>
      <w:r>
        <w:rPr>
          <w:rFonts w:eastAsia="Times New Roman" w:cs="Times New Roman" w:ascii="Times New Roman" w:hAnsi="Times New Roman"/>
          <w:b/>
          <w:color w:val="000000"/>
          <w:kern w:val="2"/>
          <w:lang w:eastAsia="pt-BR"/>
        </w:rPr>
        <w:t>EDITAL DA CHAMADA PÚBLICA 01/2019.</w:t>
      </w:r>
    </w:p>
    <w:p>
      <w:pPr>
        <w:pStyle w:val="Normal"/>
        <w:tabs>
          <w:tab w:val="center" w:pos="4252" w:leader="none"/>
          <w:tab w:val="left" w:pos="6611" w:leader="none"/>
        </w:tabs>
        <w:spacing w:lineRule="auto" w:line="240" w:beforeAutospacing="1" w:afterAutospacing="1"/>
        <w:jc w:val="center"/>
        <w:rPr/>
      </w:pPr>
      <w:r>
        <w:rPr>
          <w:rFonts w:eastAsia="Times New Roman" w:cs="Times New Roman" w:ascii="Times New Roman" w:hAnsi="Times New Roman"/>
          <w:b/>
          <w:color w:val="000000"/>
          <w:kern w:val="2"/>
          <w:lang w:eastAsia="pt-BR"/>
        </w:rPr>
        <w:t>Processo nº 23240.000390/2019-17</w:t>
      </w:r>
    </w:p>
    <w:p>
      <w:pPr>
        <w:pStyle w:val="Standard"/>
        <w:spacing w:lineRule="auto" w:line="360" w:before="0" w:after="120"/>
        <w:ind w:right="-30" w:firstLine="540"/>
        <w:jc w:val="both"/>
        <w:rPr>
          <w:rFonts w:ascii="Times New Roman" w:hAnsi="Times New Roman" w:cs="Times New Roman"/>
          <w:color w:val="000000"/>
          <w:sz w:val="22"/>
          <w:szCs w:val="22"/>
        </w:rPr>
      </w:pPr>
      <w:r>
        <w:rPr>
          <w:rFonts w:cs="Times New Roman" w:ascii="Times New Roman" w:hAnsi="Times New Roman"/>
          <w:color w:val="000000"/>
          <w:sz w:val="22"/>
          <w:szCs w:val="22"/>
        </w:rPr>
        <w:t>Torna-se público, para conhecimento dos interessados, que o Instituto Federal de Educação, Ciência e Tecnologia Farroupilha Campus Panambi, por meio da Comissão Permanente de Licitações, sediada na Rua Erechim, 860 - Bairro Planalto, Panambi – RS. Realizará Chamada Pública para aquisição de gêneros alimentícios da Agricultura Familiar e do Empreendedor Familiar Rural, em empreitada por preço unitário, destinados ao atendimento do Programa Nacional de Alimentação Escolar (PNAE), que se regerá pela Lei Federal nº. 11.947 de 16 de junho de 2009, Lei nº 11.326, de 24 de julho de 2006, Lei nº 12.512, de 14 de outubro de 2011, da Resolução/CD/FNDE nº. 26 de 17 de junho de 2013, Resolução CD/FNDE nº. 04 de 02 de abril de 2015 e aplicando-se, subsidiariamente, a lei nº 8.666/93, e as exigências estabelecidas neste Edital.</w:t>
      </w:r>
    </w:p>
    <w:p>
      <w:pPr>
        <w:pStyle w:val="NormalWeb"/>
        <w:spacing w:lineRule="auto" w:line="360"/>
        <w:jc w:val="both"/>
        <w:rPr/>
      </w:pPr>
      <w:r>
        <w:rPr>
          <w:b/>
          <w:color w:val="000000"/>
          <w:kern w:val="2"/>
          <w:sz w:val="22"/>
          <w:szCs w:val="22"/>
        </w:rPr>
        <w:t>DAS DATAS, HORÁRIOS E LOCAL DOS EVENTOS:</w:t>
      </w:r>
    </w:p>
    <w:tbl>
      <w:tblPr>
        <w:tblW w:w="8868" w:type="dxa"/>
        <w:jc w:val="left"/>
        <w:tblInd w:w="-124"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top w:w="0" w:type="dxa"/>
          <w:left w:w="0" w:type="dxa"/>
          <w:bottom w:w="0" w:type="dxa"/>
          <w:right w:w="70" w:type="dxa"/>
        </w:tblCellMar>
        <w:tblLook w:firstRow="1" w:noVBand="1" w:lastRow="0" w:firstColumn="1" w:lastColumn="0" w:noHBand="0" w:val="04a0"/>
      </w:tblPr>
      <w:tblGrid>
        <w:gridCol w:w="2709"/>
        <w:gridCol w:w="6158"/>
      </w:tblGrid>
      <w:tr>
        <w:trPr>
          <w:trHeight w:val="615"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0" w:type="dxa"/>
            </w:tcMar>
            <w:vAlign w:val="center"/>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Período de divulgação da Chamada Pública: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9" w:type="dxa"/>
            </w:tcMar>
            <w:vAlign w:val="center"/>
          </w:tcPr>
          <w:p>
            <w:pPr>
              <w:pStyle w:val="Normal"/>
              <w:spacing w:lineRule="auto" w:line="240" w:before="0" w:after="0"/>
              <w:rPr/>
            </w:pPr>
            <w:r>
              <w:rPr>
                <w:rFonts w:eastAsia="Times New Roman" w:cs="Times New Roman" w:ascii="Times New Roman" w:hAnsi="Times New Roman"/>
                <w:color w:val="000000"/>
                <w:lang w:eastAsia="pt-BR"/>
              </w:rPr>
              <w:t xml:space="preserve"> </w:t>
            </w:r>
            <w:r>
              <w:rPr>
                <w:rFonts w:eastAsia="Times New Roman" w:cs="Times New Roman" w:ascii="Times New Roman" w:hAnsi="Times New Roman"/>
                <w:b/>
                <w:color w:val="000000"/>
                <w:lang w:eastAsia="pt-BR"/>
              </w:rPr>
              <w:t xml:space="preserve">De 19/07/2019 a 21/08/2019. </w:t>
            </w:r>
          </w:p>
        </w:tc>
      </w:tr>
      <w:tr>
        <w:trPr>
          <w:trHeight w:val="315"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0" w:type="dxa"/>
            </w:tcMar>
            <w:vAlign w:val="bottom"/>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Entrega dos Envelopes: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9" w:type="dxa"/>
            </w:tcMar>
            <w:vAlign w:val="center"/>
          </w:tcPr>
          <w:p>
            <w:pPr>
              <w:pStyle w:val="Normal"/>
              <w:spacing w:lineRule="auto" w:line="240" w:before="0" w:after="0"/>
              <w:rPr/>
            </w:pPr>
            <w:r>
              <w:rPr>
                <w:rFonts w:eastAsia="Times New Roman" w:cs="Times New Roman" w:ascii="Times New Roman" w:hAnsi="Times New Roman"/>
                <w:b/>
                <w:color w:val="000000"/>
                <w:lang w:eastAsia="pt-BR"/>
              </w:rPr>
              <w:t xml:space="preserve">Até as 09 h do dia </w:t>
            </w:r>
            <w:r>
              <w:rPr>
                <w:rFonts w:eastAsia="Times New Roman" w:cs="Times New Roman" w:ascii="Times New Roman" w:hAnsi="Times New Roman"/>
                <w:b/>
                <w:color w:val="000000"/>
                <w:lang w:eastAsia="pt-BR"/>
              </w:rPr>
              <w:t>21</w:t>
            </w:r>
            <w:r>
              <w:rPr>
                <w:rFonts w:eastAsia="Times New Roman" w:cs="Times New Roman" w:ascii="Times New Roman" w:hAnsi="Times New Roman"/>
                <w:b/>
                <w:color w:val="000000"/>
                <w:lang w:eastAsia="pt-BR"/>
              </w:rPr>
              <w:t xml:space="preserve">/08/2019 </w:t>
            </w:r>
            <w:r>
              <w:rPr>
                <w:rFonts w:eastAsia="Times New Roman" w:cs="Times New Roman" w:ascii="Times New Roman" w:hAnsi="Times New Roman"/>
                <w:color w:val="000000"/>
                <w:lang w:eastAsia="pt-BR"/>
              </w:rPr>
              <w:t>(Horário de Brasília).</w:t>
            </w:r>
          </w:p>
        </w:tc>
      </w:tr>
      <w:tr>
        <w:trPr>
          <w:trHeight w:val="315"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0" w:type="dxa"/>
            </w:tcMar>
            <w:vAlign w:val="center"/>
          </w:tcPr>
          <w:p>
            <w:pPr>
              <w:pStyle w:val="Normal"/>
              <w:spacing w:lineRule="auto" w:line="240" w:before="0" w:after="0"/>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Abertura dos Envelopes: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9" w:type="dxa"/>
            </w:tcMar>
            <w:vAlign w:val="center"/>
          </w:tcPr>
          <w:p>
            <w:pPr>
              <w:pStyle w:val="Normal"/>
              <w:spacing w:lineRule="auto" w:line="240" w:before="0" w:after="0"/>
              <w:rPr/>
            </w:pPr>
            <w:r>
              <w:rPr>
                <w:rFonts w:eastAsia="Times New Roman" w:cs="Times New Roman" w:ascii="Times New Roman" w:hAnsi="Times New Roman"/>
                <w:b/>
                <w:color w:val="000000"/>
                <w:lang w:eastAsia="pt-BR"/>
              </w:rPr>
              <w:t xml:space="preserve">Dia: </w:t>
            </w:r>
            <w:r>
              <w:rPr>
                <w:rFonts w:eastAsia="Times New Roman" w:cs="Times New Roman" w:ascii="Times New Roman" w:hAnsi="Times New Roman"/>
                <w:b/>
                <w:color w:val="000000"/>
                <w:lang w:eastAsia="pt-BR"/>
              </w:rPr>
              <w:t>21</w:t>
            </w:r>
            <w:r>
              <w:rPr>
                <w:rFonts w:eastAsia="Times New Roman" w:cs="Times New Roman" w:ascii="Times New Roman" w:hAnsi="Times New Roman"/>
                <w:b/>
                <w:color w:val="000000"/>
                <w:lang w:eastAsia="pt-BR"/>
              </w:rPr>
              <w:t xml:space="preserve">/08/2019, </w:t>
            </w:r>
            <w:r>
              <w:rPr>
                <w:rFonts w:eastAsia="Times New Roman" w:cs="Times New Roman" w:ascii="Times New Roman" w:hAnsi="Times New Roman"/>
                <w:b/>
                <w:color w:val="000000"/>
                <w:lang w:eastAsia="pt-BR"/>
              </w:rPr>
              <w:t>à</w:t>
            </w:r>
            <w:r>
              <w:rPr>
                <w:rFonts w:eastAsia="Times New Roman" w:cs="Times New Roman" w:ascii="Times New Roman" w:hAnsi="Times New Roman"/>
                <w:b/>
                <w:color w:val="000000"/>
                <w:lang w:eastAsia="pt-BR"/>
              </w:rPr>
              <w:t xml:space="preserve">s 09 horas </w:t>
            </w:r>
            <w:r>
              <w:rPr>
                <w:rFonts w:eastAsia="Times New Roman" w:cs="Times New Roman" w:ascii="Times New Roman" w:hAnsi="Times New Roman"/>
                <w:color w:val="000000"/>
                <w:lang w:eastAsia="pt-BR"/>
              </w:rPr>
              <w:t>(horário de Brasília).</w:t>
            </w:r>
          </w:p>
        </w:tc>
      </w:tr>
      <w:tr>
        <w:trPr>
          <w:trHeight w:val="780"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0" w:type="dxa"/>
            </w:tcMar>
            <w:vAlign w:val="center"/>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Endereço da Sessão Pública: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9" w:type="dxa"/>
            </w:tcMar>
            <w:vAlign w:val="center"/>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Sala de Reunião - Prédio A - Campus Panambi do Instituto Federal Farroupilha - Rua Erechim, 860 - Bairro Planalto - CEP: 98280-000 - Panambi –RS.</w:t>
            </w:r>
          </w:p>
        </w:tc>
      </w:tr>
    </w:tbl>
    <w:p>
      <w:pPr>
        <w:pStyle w:val="Normal"/>
        <w:tabs>
          <w:tab w:val="left" w:pos="567" w:leader="none"/>
        </w:tabs>
        <w:spacing w:lineRule="auto" w:line="360" w:beforeAutospacing="1" w:afterAutospacing="1"/>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tabs>
          <w:tab w:val="left" w:pos="567" w:leader="none"/>
        </w:tabs>
        <w:spacing w:lineRule="auto" w:line="360" w:beforeAutospacing="1" w:afterAutospacing="1"/>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tabs>
          <w:tab w:val="left" w:pos="567" w:leader="none"/>
        </w:tabs>
        <w:spacing w:lineRule="auto" w:line="360" w:beforeAutospacing="1" w:afterAutospacing="1"/>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ListParagraph"/>
        <w:numPr>
          <w:ilvl w:val="0"/>
          <w:numId w:val="4"/>
        </w:numPr>
        <w:tabs>
          <w:tab w:val="left" w:pos="567" w:leader="none"/>
        </w:tabs>
        <w:spacing w:lineRule="auto" w:line="360" w:beforeAutospacing="1"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OBJETO</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O objeto da presente Chamada Pública é a aquisição de gêneros alimentícios diretamente da Agricultura Familiar e do Empreendedor Familiar Rural, para o atendimento ao Programa Nacional de Alimentação Escolar – PNAE/FNDE.</w:t>
      </w:r>
      <w:r>
        <w:rPr>
          <w:rFonts w:cs="Times New Roman" w:ascii="Times New Roman" w:hAnsi="Times New Roman"/>
        </w:rPr>
        <w:t xml:space="preserve"> Destinado aos alunos matriculados no Instituto Federal Farroupilha Campus Panambi.</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A licitação será dividida em itens, facultando-se ao agricultor a participação em quantos itens forem de seu interesse.</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JUSTIFICATIVA</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Será necessária a realização da Chamada Pública para a aquisição dos gêneros alimentícios no âmbito do Programa Nacional de Alimentação Escolar - PNAE, obedecendo as diretrizes da Resolução Nº 26, de 17 de Junho de 2013, que Dispõe sobre o atendimento da alimentação escolar aos alunos da educação básica no âmbito do PNAE e também a Resolução Nº4, de 2 de abril de 2015, que altera a redação dos artigos 25 a 32 da Resolução  Nº 26, de 17 de Junho de 2013. Esta resolução traz em seu artigo 20, que a Chamada Pública é um procedimento administrativo voltado à seleção de proposta específica para a aquisição de gêneros alimentícios provenientes da Agricultura Familiar e/ou Empreendedores Rurais ou suas organizações.</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Também indica em seu Artigo 24, que do total de recursos financeiros repassados pelo FNDE, no mínimo 30% (trinta por cento) deverá ser utilizado na aquisição de gêneros alimentícios diretamente da Agricultura Familiar.</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Sendo assim, a aquisição de gêneros alimentícios será para a oferta de lanche da alimentação escolar, o qual beneficiará 432 alunos da educação básica (ensino médio, subsequente e proeja), no segundo semestre deste ano de 2019.</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DO MAPEAMENTO DOS PRODUTOS DA AGRICULTURA FAMILIAR</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A articulação entre os atores sociais envolvidos no processo de aquisição de produtos da agricultura familiar para a alimentação escolar é fundamental para a boa execução do programa.</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Para identificar a diversidade e a quantidade dos gêneros alimentícios ofertados pela agricultura familiar que serão utilizados no cardápio da alimentação escolar, o Instituto Federal Farroupilha Campus Panambi e a nutricionista responsável técnica pelo programa, realizaram em 2018 um levantamento junto a EMATER e o mapeamento dos produtos da agricultura familiar local, considerando para 2019 os produtos que foram objeto da chamada pública do ano anterior, a qual foi bem-sucedida.</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De posse do mapeamento dos produtos da agricultura familiar local, a nutricionista responsável técnica, elaborou os cardápios da alimentação escolar, incluindo alimentos regionais, respeitando às referências nutricionais e aos hábitos alimentares locais, e conforme a safra, obedecendo à sazonalidade e a quantidade produzida na região.</w:t>
      </w:r>
    </w:p>
    <w:p>
      <w:pPr>
        <w:pStyle w:val="ListParagraph"/>
        <w:numPr>
          <w:ilvl w:val="1"/>
          <w:numId w:val="4"/>
        </w:numPr>
        <w:tabs>
          <w:tab w:val="left" w:pos="567" w:leader="none"/>
        </w:tabs>
        <w:spacing w:lineRule="auto" w:line="360" w:before="0" w:afterAutospacing="1"/>
        <w:jc w:val="both"/>
        <w:rPr/>
      </w:pPr>
      <w:r>
        <w:rPr>
          <w:rFonts w:eastAsia="Times New Roman" w:cs="Times New Roman" w:ascii="Times New Roman" w:hAnsi="Times New Roman"/>
          <w:lang w:eastAsia="pt-BR"/>
        </w:rPr>
        <w:t>A quantidade de gêneros alimentícios a serem adquiridos é estimada com base nos cardápios de alimentação escolar elaborado pela nutricionista do Instituto Federal Farroupilha – Campus Panambi em consonância com a disponibilidade orçamentária proveniente do FNDE, conforme especificações dos gêneros alimentícios abaixo:</w:t>
      </w:r>
    </w:p>
    <w:p>
      <w:pPr>
        <w:pStyle w:val="ListParagraph"/>
        <w:tabs>
          <w:tab w:val="left" w:pos="567" w:leader="none"/>
        </w:tabs>
        <w:spacing w:lineRule="auto" w:line="360" w:before="0" w:afterAutospacing="1"/>
        <w:ind w:left="792" w:hanging="0"/>
        <w:jc w:val="both"/>
        <w:rPr/>
      </w:pPr>
      <w:r>
        <w:rPr/>
      </w:r>
    </w:p>
    <w:tbl>
      <w:tblPr>
        <w:tblW w:w="8968" w:type="dxa"/>
        <w:jc w:val="center"/>
        <w:tblInd w:w="0" w:type="dxa"/>
        <w:tblBorders>
          <w:top w:val="single" w:sz="4" w:space="0" w:color="00000A"/>
          <w:left w:val="single" w:sz="4" w:space="0" w:color="00000A"/>
          <w:bottom w:val="outset" w:sz="6" w:space="0" w:color="00000A"/>
          <w:right w:val="outset" w:sz="6" w:space="0" w:color="00000A"/>
          <w:insideH w:val="outset" w:sz="6" w:space="0" w:color="00000A"/>
          <w:insideV w:val="outset" w:sz="6" w:space="0" w:color="00000A"/>
        </w:tblBorders>
        <w:tblCellMar>
          <w:top w:w="60" w:type="dxa"/>
          <w:left w:w="30" w:type="dxa"/>
          <w:bottom w:w="60" w:type="dxa"/>
          <w:right w:w="60" w:type="dxa"/>
        </w:tblCellMar>
        <w:tblLook w:firstRow="1" w:noVBand="1" w:lastRow="0" w:firstColumn="1" w:lastColumn="0" w:noHBand="0" w:val="04a0"/>
      </w:tblPr>
      <w:tblGrid>
        <w:gridCol w:w="547"/>
        <w:gridCol w:w="2798"/>
        <w:gridCol w:w="980"/>
        <w:gridCol w:w="1166"/>
        <w:gridCol w:w="1721"/>
        <w:gridCol w:w="1755"/>
      </w:tblGrid>
      <w:tr>
        <w:trPr>
          <w:trHeight w:val="167" w:hRule="atLeast"/>
        </w:trPr>
        <w:tc>
          <w:tcPr>
            <w:tcW w:w="547" w:type="dxa"/>
            <w:vMerge w:val="restart"/>
            <w:tcBorders>
              <w:top w:val="single" w:sz="4"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30"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Item</w:t>
            </w:r>
          </w:p>
        </w:tc>
        <w:tc>
          <w:tcPr>
            <w:tcW w:w="2798"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Produto</w:t>
            </w:r>
          </w:p>
        </w:tc>
        <w:tc>
          <w:tcPr>
            <w:tcW w:w="980"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Unidade</w:t>
            </w:r>
          </w:p>
        </w:tc>
        <w:tc>
          <w:tcPr>
            <w:tcW w:w="1166"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Quantidade</w:t>
            </w:r>
          </w:p>
        </w:tc>
        <w:tc>
          <w:tcPr>
            <w:tcW w:w="3476" w:type="dxa"/>
            <w:gridSpan w:val="2"/>
            <w:tcBorders>
              <w:top w:val="single" w:sz="4"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Preço de Aquisição (R$)</w:t>
            </w:r>
          </w:p>
        </w:tc>
      </w:tr>
      <w:tr>
        <w:trPr>
          <w:trHeight w:val="99" w:hRule="atLeast"/>
        </w:trPr>
        <w:tc>
          <w:tcPr>
            <w:tcW w:w="547" w:type="dxa"/>
            <w:vMerge w:val="continue"/>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30"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2798"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980"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166"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Unitário</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Valor Total</w:t>
            </w:r>
          </w:p>
        </w:tc>
      </w:tr>
      <w:tr>
        <w:trPr>
          <w:trHeight w:val="1699"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01</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rFonts w:ascii="Arial" w:hAnsi="Arial"/>
                <w:sz w:val="24"/>
                <w:szCs w:val="24"/>
              </w:rPr>
            </w:pPr>
            <w:r>
              <w:rPr>
                <w:rFonts w:cs="Times New Roman" w:ascii="Arial" w:hAnsi="Arial"/>
                <w:color w:val="000000"/>
                <w:sz w:val="24"/>
                <w:szCs w:val="24"/>
              </w:rPr>
              <w:t>Bolacha de Mel - (Ingredientes: a</w:t>
            </w:r>
            <w:r>
              <w:rPr>
                <w:rFonts w:ascii="Arial" w:hAnsi="Arial"/>
                <w:color w:val="000000"/>
                <w:sz w:val="24"/>
                <w:szCs w:val="24"/>
              </w:rPr>
              <w:t>çúcar refinado, manteiga, ovos, baunilha, mel, nos moscada, canela, bicabornato de sódio, farinha de trigo).</w:t>
            </w:r>
          </w:p>
          <w:p>
            <w:pPr>
              <w:pStyle w:val="Normal"/>
              <w:spacing w:before="0" w:after="200"/>
              <w:jc w:val="center"/>
              <w:rPr>
                <w:rFonts w:cs="Times New Roman"/>
              </w:rPr>
            </w:pPr>
            <w:r>
              <w:rPr>
                <w:rFonts w:cs="Times New Roman"/>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Kg</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rFonts w:ascii="Arial" w:hAnsi="Arial"/>
                <w:sz w:val="24"/>
                <w:szCs w:val="24"/>
              </w:rPr>
            </w:pPr>
            <w:r>
              <w:rPr>
                <w:rFonts w:eastAsia="Times New Roman" w:cs="Times New Roman" w:ascii="Arial" w:hAnsi="Arial"/>
                <w:sz w:val="24"/>
                <w:szCs w:val="24"/>
                <w:lang w:eastAsia="pt-BR"/>
              </w:rPr>
              <w:t>25</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R$ 26,25</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R$ 656,25</w:t>
            </w:r>
          </w:p>
        </w:tc>
      </w:tr>
      <w:tr>
        <w:trPr>
          <w:trHeight w:val="190"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02</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cs="Times New Roman" w:ascii="Arial" w:hAnsi="Arial"/>
                <w:color w:val="000000"/>
                <w:sz w:val="24"/>
                <w:szCs w:val="24"/>
              </w:rPr>
              <w:t xml:space="preserve">Bolo de Cenoura </w:t>
            </w:r>
            <w:r>
              <w:rPr>
                <w:rFonts w:ascii="Arial" w:hAnsi="Arial"/>
                <w:color w:val="000000"/>
                <w:sz w:val="24"/>
                <w:szCs w:val="24"/>
              </w:rPr>
              <w:t>– (Massa: Cenoura, ovos, óleo de soja, açúcar, farinha de trigo, fermento em pó e sal). 1 fatia média. Peso médio 80g.</w:t>
            </w:r>
          </w:p>
          <w:p>
            <w:pPr>
              <w:pStyle w:val="Normal"/>
              <w:spacing w:lineRule="auto" w:line="360" w:before="0" w:after="200"/>
              <w:jc w:val="center"/>
              <w:rPr>
                <w:rFonts w:cs="Times New Roman"/>
              </w:rPr>
            </w:pPr>
            <w:r>
              <w:rPr>
                <w:rFonts w:cs="Times New Roman"/>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rFonts w:ascii="Arial" w:hAnsi="Arial"/>
                <w:sz w:val="24"/>
                <w:szCs w:val="24"/>
              </w:rPr>
            </w:pPr>
            <w:r>
              <w:rPr>
                <w:rFonts w:eastAsia="Times New Roman" w:cs="Times New Roman" w:ascii="Arial" w:hAnsi="Arial"/>
                <w:sz w:val="24"/>
                <w:szCs w:val="24"/>
                <w:lang w:eastAsia="pt-BR"/>
              </w:rPr>
              <w:t>432</w:t>
            </w:r>
          </w:p>
          <w:p>
            <w:pPr>
              <w:pStyle w:val="Normal"/>
              <w:spacing w:before="0" w:after="200"/>
              <w:jc w:val="center"/>
              <w:rPr>
                <w:rFonts w:eastAsia="Times New Roman" w:cs="Times New Roman"/>
                <w:lang w:eastAsia="pt-BR"/>
              </w:rPr>
            </w:pPr>
            <w:r>
              <w:rPr>
                <w:rFonts w:eastAsia="Times New Roman" w:cs="Times New Roman"/>
                <w:lang w:eastAsia="pt-BR"/>
              </w:rPr>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R$ 1,91</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R$ 823,68</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03</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Bolo de Chocolate </w:t>
            </w:r>
            <w:r>
              <w:rPr>
                <w:rFonts w:ascii="Arial" w:hAnsi="Arial"/>
                <w:color w:val="000000"/>
                <w:sz w:val="24"/>
                <w:szCs w:val="24"/>
              </w:rPr>
              <w:t>– (Massa: Açúcar, ovos, leite, margarina, farinha de trigo, chocolate em pó, leite e fermento em pó). 1 fatia média. Peso médio 80g.</w:t>
            </w:r>
          </w:p>
          <w:p>
            <w:pPr>
              <w:pStyle w:val="Normal"/>
              <w:spacing w:lineRule="auto" w:line="360" w:before="0" w:after="200"/>
              <w:jc w:val="center"/>
              <w:rPr>
                <w:rFonts w:ascii="Arial" w:hAnsi="Arial"/>
                <w:sz w:val="24"/>
                <w:szCs w:val="24"/>
              </w:rPr>
            </w:pPr>
            <w:r>
              <w:rPr>
                <w:rFonts w:ascii="Arial" w:hAnsi="Arial"/>
                <w:sz w:val="24"/>
                <w:szCs w:val="24"/>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rFonts w:ascii="Arial" w:hAnsi="Arial"/>
                <w:sz w:val="24"/>
                <w:szCs w:val="24"/>
              </w:rPr>
            </w:pPr>
            <w:r>
              <w:rPr>
                <w:rFonts w:eastAsia="Times New Roman" w:cs="Times New Roman" w:ascii="Arial" w:hAnsi="Arial"/>
                <w:sz w:val="24"/>
                <w:szCs w:val="24"/>
                <w:lang w:eastAsia="pt-BR"/>
              </w:rPr>
              <w:t>864</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R$ 2,12</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R$ 1.827,36</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04</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Bolo Formigueiro </w:t>
            </w:r>
            <w:r>
              <w:rPr>
                <w:rFonts w:ascii="Arial" w:hAnsi="Arial"/>
                <w:color w:val="000000"/>
                <w:sz w:val="24"/>
                <w:szCs w:val="24"/>
              </w:rPr>
              <w:t>– (Massa: Farinha de trigo, açúcar, fermento em pó, ovos, óleo de soja, leite e chocolate granulado).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R$ 2,03</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R$ 874,80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05</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Bolo Ingl</w:t>
            </w:r>
            <w:r>
              <w:rPr>
                <w:rFonts w:ascii="Arial" w:hAnsi="Arial"/>
                <w:color w:val="000000"/>
                <w:sz w:val="24"/>
                <w:szCs w:val="24"/>
              </w:rPr>
              <w:t>ês – (Massa: Farinha de trigo, açúcar, fermento em pó, ovos, manteiga,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R$ 2,09</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R$ 904,32</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06</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 </w:t>
            </w:r>
            <w:r>
              <w:rPr>
                <w:rFonts w:ascii="Arial" w:hAnsi="Arial"/>
                <w:color w:val="000000"/>
                <w:sz w:val="24"/>
                <w:szCs w:val="24"/>
              </w:rPr>
              <w:t>Bolo de Laranja – (Massa: Óleo, açúcar, farinha de trigo, ovos, fermento em pó, suco de laranja e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R$ 2,01</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R$ 866,16</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07</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Bolo Salgado de Carne e Legumes -  Bolo Salgado de Salsicha e </w:t>
            </w:r>
            <w:r>
              <w:rPr>
                <w:rFonts w:ascii="Arial" w:hAnsi="Arial"/>
                <w:color w:val="000000"/>
                <w:sz w:val="24"/>
                <w:szCs w:val="24"/>
              </w:rPr>
              <w:t>Legumes - (Massa: Óleo de soja, leite, farinha de trigo, fermento em pó, sal e ovos; Recheio: carne moída, tomate, cenoura, milho verde e ervilha). 1 fatia média 100 gr</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R$ 2,27</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R$ 979,20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08</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Bolo Salgado de Frango e Legumes </w:t>
            </w:r>
            <w:r>
              <w:rPr>
                <w:rFonts w:ascii="Arial" w:hAnsi="Arial"/>
                <w:color w:val="000000"/>
                <w:sz w:val="24"/>
                <w:szCs w:val="24"/>
              </w:rPr>
              <w:t>– (Massa: Óleo de soja, leite, farinha de trigo, fermento em pó, sal e ovos; Recheio: frango desfiado, tomate, cenoura, milho verde e brócolis). 1 fatia média.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R$ 2,30</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R$ 993,60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09</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Cachorro quente </w:t>
            </w:r>
            <w:r>
              <w:rPr>
                <w:rFonts w:ascii="Arial" w:hAnsi="Arial"/>
                <w:color w:val="000000"/>
                <w:sz w:val="24"/>
                <w:szCs w:val="24"/>
              </w:rPr>
              <w:t xml:space="preserve">– Pão tipo bisnaga (60g) e linguiça assada (100g). </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Unidade</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1728</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R$ 4,60</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R$ 7.948,80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10</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Cuca com recheio de frutas (massa: ovos, a</w:t>
            </w:r>
            <w:r>
              <w:rPr>
                <w:rFonts w:ascii="Arial" w:hAnsi="Arial"/>
                <w:color w:val="000000"/>
                <w:sz w:val="24"/>
                <w:szCs w:val="24"/>
              </w:rPr>
              <w:t>çúcar baunilha, nata, fermento biológico leite e farinha de trigo; Recheio de frutas. Farofa para polvilhar: Nata, açúcar, baunilha, raspas de laranja, farinha de trigo). 1(uma) fatia, peso médio 80 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R$ 1,31</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R$ 564,48</w:t>
            </w:r>
          </w:p>
        </w:tc>
      </w:tr>
      <w:tr>
        <w:trPr>
          <w:trHeight w:val="200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11</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Cuca sem Recheio, (Massa: Ovos, a</w:t>
            </w:r>
            <w:r>
              <w:rPr>
                <w:rFonts w:ascii="Arial" w:hAnsi="Arial"/>
                <w:color w:val="000000"/>
                <w:sz w:val="24"/>
                <w:szCs w:val="24"/>
              </w:rPr>
              <w:t>çúcar baunilha, nata, fermento biológico, leite e farinha de trigo; Farofa para polvilhar: Nata, açúcar, baunilha, raspas de laranja, farinha de trigo). 1 fatia, peso médio 80g.</w:t>
            </w:r>
          </w:p>
          <w:p>
            <w:pPr>
              <w:pStyle w:val="Normal"/>
              <w:spacing w:lineRule="auto" w:line="360" w:before="0" w:after="200"/>
              <w:jc w:val="center"/>
              <w:rPr>
                <w:rFonts w:ascii="Arial" w:hAnsi="Arial"/>
                <w:sz w:val="24"/>
                <w:szCs w:val="24"/>
              </w:rPr>
            </w:pPr>
            <w:r>
              <w:rPr>
                <w:rFonts w:eastAsia="Times New Roman" w:cs="Times New Roman" w:ascii="Arial" w:hAnsi="Arial"/>
                <w:sz w:val="24"/>
                <w:szCs w:val="24"/>
                <w:lang w:eastAsia="pt-BR"/>
              </w:rPr>
              <w:t xml:space="preserve"> </w:t>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R$ 1,13</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R$ 486,72</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12</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Pastel de Carne (Massa: Fermento biol</w:t>
            </w:r>
            <w:r>
              <w:rPr>
                <w:rFonts w:ascii="Arial" w:hAnsi="Arial"/>
                <w:color w:val="000000"/>
                <w:sz w:val="24"/>
                <w:szCs w:val="24"/>
              </w:rPr>
              <w:t>ógico, açúcar, sal, azeite, batata inglesa cozida e amassada, e farinha de trigo. Recheio preparado com carne moída de primeira qualidade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1296</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R$ 2,98</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R$ 3.855,60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13</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Pastel de Frango (Massa: Fermento biol</w:t>
            </w:r>
            <w:r>
              <w:rPr>
                <w:rFonts w:ascii="Arial" w:hAnsi="Arial"/>
                <w:color w:val="000000"/>
                <w:sz w:val="24"/>
                <w:szCs w:val="24"/>
              </w:rPr>
              <w:t>ógico, açúcar, sal, azeite, batata inglesa cozida e amassada, e farinha de trigo. Recheio preparado com peito de frango desfiado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1296</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R$ 2,98</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R$ 3.855,60</w:t>
            </w:r>
          </w:p>
        </w:tc>
      </w:tr>
      <w:tr>
        <w:trPr>
          <w:trHeight w:val="2795"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14</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cs="Times New Roman" w:ascii="Arial" w:hAnsi="Arial"/>
                <w:color w:val="000000"/>
                <w:sz w:val="24"/>
                <w:szCs w:val="24"/>
              </w:rPr>
              <w:t>Pastel de Queijo (Massa: Fermento biol</w:t>
            </w:r>
            <w:r>
              <w:rPr>
                <w:rFonts w:ascii="Arial" w:hAnsi="Arial"/>
                <w:color w:val="000000"/>
                <w:sz w:val="24"/>
                <w:szCs w:val="24"/>
              </w:rPr>
              <w:t>ógico, açúcar, sal, azeite, batata inglesa cozida e amassada, e farinha de trigo. Recheio: queijo (60g)) – 1 unidade. Peso médio 100g.</w:t>
            </w:r>
          </w:p>
          <w:p>
            <w:pPr>
              <w:pStyle w:val="Normal"/>
              <w:spacing w:lineRule="auto" w:line="360" w:before="0" w:after="200"/>
              <w:jc w:val="center"/>
              <w:rPr>
                <w:rFonts w:cs="Times New Roman"/>
              </w:rPr>
            </w:pPr>
            <w:r>
              <w:rPr>
                <w:rFonts w:cs="Times New Roman"/>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1296</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R$ 3,06</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R$ 3.969,00</w:t>
            </w:r>
          </w:p>
        </w:tc>
      </w:tr>
      <w:tr>
        <w:trPr>
          <w:trHeight w:val="1446"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15</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cs="Times New Roman"/>
              </w:rPr>
            </w:pPr>
            <w:r>
              <w:rPr>
                <w:rFonts w:cs="Times New Roman"/>
              </w:rPr>
            </w:r>
          </w:p>
          <w:p>
            <w:pPr>
              <w:pStyle w:val="Normal"/>
              <w:spacing w:lineRule="auto" w:line="360"/>
              <w:jc w:val="center"/>
              <w:rPr>
                <w:rFonts w:ascii="Arial" w:hAnsi="Arial" w:cs="Times New Roman"/>
                <w:sz w:val="24"/>
                <w:szCs w:val="24"/>
              </w:rPr>
            </w:pPr>
            <w:r>
              <w:rPr>
                <w:rFonts w:cs="Times New Roman" w:ascii="Arial" w:hAnsi="Arial"/>
                <w:color w:val="000000"/>
                <w:sz w:val="24"/>
                <w:szCs w:val="24"/>
              </w:rPr>
              <w:t> </w:t>
            </w:r>
            <w:r>
              <w:rPr>
                <w:rFonts w:cs="Times New Roman" w:ascii="Arial" w:hAnsi="Arial"/>
                <w:color w:val="000000"/>
                <w:sz w:val="24"/>
                <w:szCs w:val="24"/>
              </w:rPr>
              <w:t>Tortas Confeitadas, com 3 recheios diferentes.</w:t>
            </w:r>
          </w:p>
          <w:p>
            <w:pPr>
              <w:pStyle w:val="Normal"/>
              <w:spacing w:lineRule="auto" w:line="360" w:before="0" w:after="200"/>
              <w:jc w:val="center"/>
              <w:rPr>
                <w:rFonts w:ascii="Arial" w:hAnsi="Arial" w:cs="Times New Roman"/>
                <w:sz w:val="24"/>
                <w:szCs w:val="24"/>
              </w:rPr>
            </w:pPr>
            <w:r>
              <w:rPr>
                <w:rFonts w:cs="Times New Roman" w:ascii="Arial" w:hAnsi="Arial"/>
                <w:sz w:val="24"/>
                <w:szCs w:val="24"/>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Kg</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rFonts w:ascii="Arial" w:hAnsi="Arial"/>
                <w:sz w:val="24"/>
                <w:szCs w:val="24"/>
              </w:rPr>
            </w:pPr>
            <w:r>
              <w:rPr>
                <w:rFonts w:eastAsia="Times New Roman" w:cs="Times New Roman" w:ascii="Arial" w:hAnsi="Arial"/>
                <w:sz w:val="24"/>
                <w:szCs w:val="24"/>
                <w:lang w:eastAsia="pt-BR"/>
              </w:rPr>
              <w:t>43</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R$ 28,83</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R$ 1.239,83</w:t>
            </w:r>
          </w:p>
        </w:tc>
      </w:tr>
      <w:tr>
        <w:trPr>
          <w:trHeight w:val="198" w:hRule="atLeast"/>
        </w:trPr>
        <w:tc>
          <w:tcPr>
            <w:tcW w:w="547" w:type="dxa"/>
            <w:tcBorders>
              <w:top w:val="outset" w:sz="6" w:space="0" w:color="00000A"/>
              <w:left w:val="single" w:sz="4" w:space="0" w:color="00000A"/>
              <w:bottom w:val="single" w:sz="4" w:space="0" w:color="00000A"/>
              <w:right w:val="outset" w:sz="6" w:space="0" w:color="00000A"/>
              <w:insideH w:val="single" w:sz="4" w:space="0" w:color="00000A"/>
              <w:insideV w:val="outset" w:sz="6" w:space="0" w:color="00000A"/>
            </w:tcBorders>
            <w:shd w:color="auto" w:fill="auto" w:val="clear"/>
            <w:tcMar>
              <w:left w:w="3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p>
        </w:tc>
        <w:tc>
          <w:tcPr>
            <w:tcW w:w="2798"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p>
        </w:tc>
        <w:tc>
          <w:tcPr>
            <w:tcW w:w="980"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tc>
        <w:tc>
          <w:tcPr>
            <w:tcW w:w="1166"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eastAsia="Times New Roman" w:cs="Times New Roman"/>
                <w:lang w:eastAsia="pt-BR"/>
              </w:rPr>
            </w:pPr>
            <w:r>
              <w:rPr>
                <w:rFonts w:eastAsia="Times New Roman" w:cs="Times New Roman"/>
                <w:lang w:eastAsia="pt-BR"/>
              </w:rPr>
            </w:r>
          </w:p>
        </w:tc>
        <w:tc>
          <w:tcPr>
            <w:tcW w:w="1721"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b/>
                <w:b/>
                <w:bCs/>
                <w:sz w:val="24"/>
                <w:szCs w:val="24"/>
              </w:rPr>
            </w:pPr>
            <w:r>
              <w:rPr>
                <w:rFonts w:eastAsia="Times New Roman" w:cs="Times New Roman" w:ascii="Arial" w:hAnsi="Arial"/>
                <w:b/>
                <w:bCs/>
                <w:sz w:val="24"/>
                <w:szCs w:val="24"/>
                <w:lang w:eastAsia="pt-BR"/>
              </w:rPr>
              <w:t>TOTAL</w:t>
            </w:r>
          </w:p>
        </w:tc>
        <w:tc>
          <w:tcPr>
            <w:tcW w:w="1755" w:type="dxa"/>
            <w:tcBorders>
              <w:top w:val="outset" w:sz="6" w:space="0" w:color="00000A"/>
              <w:left w:val="outset" w:sz="6" w:space="0" w:color="00000A"/>
              <w:bottom w:val="single" w:sz="4" w:space="0" w:color="00000A"/>
              <w:right w:val="single" w:sz="4" w:space="0" w:color="00000A"/>
              <w:insideH w:val="single" w:sz="4"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b/>
                <w:b/>
                <w:bCs/>
                <w:sz w:val="24"/>
                <w:szCs w:val="24"/>
              </w:rPr>
            </w:pPr>
            <w:r>
              <w:rPr>
                <w:rFonts w:eastAsia="Times New Roman" w:cs="Times New Roman" w:ascii="Arial" w:hAnsi="Arial"/>
                <w:b/>
                <w:bCs/>
                <w:sz w:val="24"/>
                <w:szCs w:val="24"/>
                <w:lang w:eastAsia="pt-BR"/>
              </w:rPr>
              <w:t>R$ 29.845,40</w:t>
            </w:r>
          </w:p>
        </w:tc>
      </w:tr>
    </w:tbl>
    <w:p>
      <w:pPr>
        <w:pStyle w:val="ListParagraph"/>
        <w:numPr>
          <w:ilvl w:val="0"/>
          <w:numId w:val="4"/>
        </w:numPr>
        <w:tabs>
          <w:tab w:val="left" w:pos="567" w:leader="none"/>
        </w:tabs>
        <w:spacing w:lineRule="auto" w:line="360" w:beforeAutospacing="1" w:after="0"/>
        <w:jc w:val="both"/>
        <w:rPr>
          <w:rFonts w:ascii="Times New Roman" w:hAnsi="Times New Roman" w:cs="Times New Roman"/>
          <w:b/>
          <w:b/>
          <w:color w:val="000000"/>
        </w:rPr>
      </w:pPr>
      <w:r>
        <w:rPr>
          <w:rFonts w:cs="Times New Roman" w:ascii="Times New Roman" w:hAnsi="Times New Roman"/>
          <w:b/>
          <w:color w:val="000000"/>
        </w:rPr>
        <w:t xml:space="preserve">DOS PREÇOS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eastAsia="Arial Unicode MS" w:cs="Times New Roman" w:ascii="Times New Roman" w:hAnsi="Times New Roman"/>
          <w:color w:val="000000"/>
        </w:rPr>
        <w:t xml:space="preserve">Na composição dos preços, foram considerados todos os insumos necessários, tais como despesas com frete, embalagens, encargos e quaisquer outros necessários para o fornecimento do produto. Para a definição dos preços, foi realizada ampla pesquisa de preços, que consiste em etapa fundamental para o bom e regular desenvolvimento do programa.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eastAsia="Arial Unicode MS" w:cs="Times New Roman" w:ascii="Times New Roman" w:hAnsi="Times New Roman"/>
          <w:color w:val="000000"/>
        </w:rPr>
        <w:t>O preço de aquisição de cada produto é o preço médio pesquisado por, no mínimo, três pesquisas. Dessa forma, foram solicitados orçamentos aos produtores locais por intermédio da EMATER, bem como dos produtores que participaram da última chamada pública, sendo que foram considerados na composição do preço os orçamentos enviados por 4 (quatro) produtores.</w:t>
      </w:r>
    </w:p>
    <w:p>
      <w:pPr>
        <w:pStyle w:val="ListParagraph"/>
        <w:numPr>
          <w:ilvl w:val="1"/>
          <w:numId w:val="4"/>
        </w:numPr>
        <w:tabs>
          <w:tab w:val="left" w:pos="567" w:leader="none"/>
        </w:tabs>
        <w:spacing w:lineRule="auto" w:line="360" w:before="0" w:afterAutospacing="1"/>
        <w:jc w:val="both"/>
        <w:rPr>
          <w:rFonts w:ascii="Times New Roman" w:hAnsi="Times New Roman" w:cs="Times New Roman"/>
          <w:b/>
          <w:b/>
          <w:color w:val="000000"/>
        </w:rPr>
      </w:pPr>
      <w:r>
        <w:rPr>
          <w:rFonts w:cs="Times New Roman" w:ascii="Times New Roman" w:hAnsi="Times New Roman"/>
          <w:color w:val="000000"/>
        </w:rPr>
        <w:t>Caso existam Projetos de venda com preços diferentes dos preços da chamada pública, a administração solicitará a adequação dos projetos, com a inclusão dos preços previstos neste edital.</w:t>
      </w:r>
    </w:p>
    <w:p>
      <w:pPr>
        <w:pStyle w:val="ListParagraph"/>
        <w:tabs>
          <w:tab w:val="left" w:pos="567" w:leader="none"/>
        </w:tabs>
        <w:spacing w:lineRule="auto" w:line="360" w:beforeAutospacing="1" w:afterAutospacing="1"/>
        <w:ind w:left="792" w:hanging="0"/>
        <w:jc w:val="both"/>
        <w:rPr>
          <w:rFonts w:ascii="Times New Roman" w:hAnsi="Times New Roman" w:cs="Times New Roman"/>
          <w:b/>
          <w:b/>
          <w:color w:val="000000"/>
        </w:rPr>
      </w:pPr>
      <w:r>
        <w:rPr>
          <w:rFonts w:cs="Times New Roman" w:ascii="Times New Roman" w:hAnsi="Times New Roman"/>
          <w:b/>
          <w:color w:val="000000"/>
        </w:rPr>
      </w:r>
    </w:p>
    <w:p>
      <w:pPr>
        <w:pStyle w:val="ListParagraph"/>
        <w:numPr>
          <w:ilvl w:val="0"/>
          <w:numId w:val="4"/>
        </w:numPr>
        <w:tabs>
          <w:tab w:val="left" w:pos="567" w:leader="none"/>
        </w:tabs>
        <w:spacing w:lineRule="auto" w:line="360" w:beforeAutospacing="1" w:after="0"/>
        <w:jc w:val="both"/>
        <w:rPr>
          <w:rFonts w:ascii="Times New Roman" w:hAnsi="Times New Roman" w:cs="Times New Roman"/>
          <w:b/>
          <w:b/>
          <w:color w:val="000000"/>
        </w:rPr>
      </w:pPr>
      <w:r>
        <w:rPr>
          <w:rFonts w:eastAsia="Times New Roman" w:cs="Times New Roman" w:ascii="Times New Roman" w:hAnsi="Times New Roman"/>
          <w:b/>
          <w:lang w:eastAsia="pt-BR"/>
        </w:rPr>
        <w:t>FONTE DE RECURSOS</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As despesas decorrentes da presente contratação estão estimadas em R$ 29.845,40 (vinte e nove mil oitocentos e quarenta e cinco reais e quarenta centavos) e correrão à conta dos recursos provenientes do FNDE/PNAE.</w:t>
      </w:r>
    </w:p>
    <w:p>
      <w:pPr>
        <w:pStyle w:val="ListParagraph"/>
        <w:numPr>
          <w:ilvl w:val="1"/>
          <w:numId w:val="4"/>
        </w:numPr>
        <w:tabs>
          <w:tab w:val="left" w:pos="567" w:leader="none"/>
        </w:tabs>
        <w:spacing w:lineRule="auto" w:line="360" w:before="0" w:after="0"/>
        <w:jc w:val="both"/>
        <w:rPr/>
      </w:pPr>
      <w:r>
        <w:rPr>
          <w:rFonts w:cs="Times New Roman" w:ascii="Times New Roman" w:hAnsi="Times New Roman"/>
        </w:rPr>
        <w:t xml:space="preserve">Fontes de Recursos n° 2019NC000128. </w:t>
      </w:r>
    </w:p>
    <w:p>
      <w:pPr>
        <w:pStyle w:val="ListParagraph"/>
        <w:numPr>
          <w:ilvl w:val="0"/>
          <w:numId w:val="4"/>
        </w:numPr>
        <w:tabs>
          <w:tab w:val="left" w:pos="567" w:leader="none"/>
        </w:tabs>
        <w:spacing w:lineRule="auto" w:line="360" w:before="0" w:after="0"/>
        <w:jc w:val="both"/>
        <w:rPr>
          <w:rFonts w:ascii="Times New Roman" w:hAnsi="Times New Roman" w:cs="Times New Roman"/>
          <w:b/>
          <w:b/>
          <w:color w:val="000000"/>
        </w:rPr>
      </w:pPr>
      <w:r>
        <w:rPr>
          <w:rFonts w:eastAsia="Times New Roman" w:cs="Times New Roman" w:ascii="Times New Roman" w:hAnsi="Times New Roman"/>
          <w:b/>
          <w:lang w:eastAsia="pt-BR"/>
        </w:rPr>
        <w:t>CONDIÇÕES DE PARTICIPAÇÃO</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Poderão participar da presente CHAMADA PÚBLICA: agricultores Familiares nas seguintes condições:</w:t>
      </w:r>
    </w:p>
    <w:p>
      <w:pPr>
        <w:pStyle w:val="ListParagraph"/>
        <w:numPr>
          <w:ilvl w:val="2"/>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bCs/>
        </w:rPr>
        <w:t>Fornecedores individuais</w:t>
      </w:r>
      <w:r>
        <w:rPr>
          <w:rFonts w:cs="Times New Roman" w:ascii="Times New Roman" w:hAnsi="Times New Roman"/>
          <w:bCs/>
        </w:rPr>
        <w:t>: Agricultores familiares,</w:t>
      </w:r>
      <w:r>
        <w:rPr>
          <w:rFonts w:cs="Times New Roman" w:ascii="Times New Roman" w:hAnsi="Times New Roman"/>
        </w:rPr>
        <w:t xml:space="preserve"> não organizados em grupo,</w:t>
      </w:r>
      <w:r>
        <w:rPr>
          <w:rFonts w:cs="Times New Roman" w:ascii="Times New Roman" w:hAnsi="Times New Roman"/>
          <w:bCs/>
        </w:rPr>
        <w:t xml:space="preserve"> detentores de Declaração de Aptidão ao Programa Nacional de Fortalecimento da Agricultura Familiar (Pronaf) - DAP física:</w:t>
      </w:r>
    </w:p>
    <w:p>
      <w:pPr>
        <w:pStyle w:val="ListParagraph"/>
        <w:numPr>
          <w:ilvl w:val="2"/>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bCs/>
        </w:rPr>
        <w:t>Grupos informais</w:t>
      </w:r>
      <w:r>
        <w:rPr>
          <w:rFonts w:cs="Times New Roman" w:ascii="Times New Roman" w:hAnsi="Times New Roman"/>
          <w:bCs/>
        </w:rPr>
        <w:t>: Agricultores familiares detentores de Declaração de Aptidão ao Programa Nacional de Fortalecimento da Agricultura Familiar (Pronaf) - DAP física, de cada agricultor, organizados em grupo, para apresentar o projeto de venda.</w:t>
      </w:r>
    </w:p>
    <w:p>
      <w:pPr>
        <w:pStyle w:val="ListParagraph"/>
        <w:numPr>
          <w:ilvl w:val="2"/>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bCs/>
        </w:rPr>
        <w:t>Grupos formais:</w:t>
      </w:r>
      <w:r>
        <w:rPr>
          <w:rFonts w:cs="Times New Roman" w:ascii="Times New Roman" w:hAnsi="Times New Roman"/>
        </w:rPr>
        <w:t xml:space="preserve"> Agricultores familiares, organizados em grupos formais (cooperativas e associações) detentores de Declaração de Aptidão ao Programa Nacional de Fortalecimento da Agricultura Familiar (Pronaf) - DAP jurídico.</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Os Fornecedores da Agricultura Familiar poderão comercializar sua produção agrícola na forma de Fornecedores Individuais, Grupos Informais e Grupos Formais, de acordo com o Art. 27 da Resolução FNDE nº 04/2015.</w:t>
      </w:r>
    </w:p>
    <w:p>
      <w:pPr>
        <w:pStyle w:val="ListParagraph"/>
        <w:numPr>
          <w:ilvl w:val="0"/>
          <w:numId w:val="4"/>
        </w:numPr>
        <w:tabs>
          <w:tab w:val="left" w:pos="567" w:leader="none"/>
        </w:tabs>
        <w:spacing w:lineRule="auto" w:line="360" w:before="0" w:after="0"/>
        <w:jc w:val="both"/>
        <w:rPr>
          <w:rFonts w:ascii="Times New Roman" w:hAnsi="Times New Roman" w:cs="Times New Roman"/>
          <w:b/>
          <w:b/>
          <w:color w:val="000000"/>
        </w:rPr>
      </w:pPr>
      <w:r>
        <w:rPr>
          <w:rFonts w:eastAsia="Times New Roman" w:cs="Times New Roman" w:ascii="Times New Roman" w:hAnsi="Times New Roman"/>
          <w:b/>
          <w:lang w:eastAsia="pt-BR"/>
        </w:rPr>
        <w:t>CREDENCIAMENTO</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O proponente ou seu representante deverá, preferencialmente, na mesma ocasião da entrega de seu envelope, apresentar-se à Comissão (Comissão Permanente de Licitação para Chamada Pública) para efetuar seu credenciamento como participante deste procedimento, munido da sua carteira d</w:t>
      </w:r>
      <w:bookmarkStart w:id="0" w:name="_GoBack"/>
      <w:bookmarkEnd w:id="0"/>
      <w:r>
        <w:rPr>
          <w:rFonts w:cs="Times New Roman" w:ascii="Times New Roman" w:hAnsi="Times New Roman"/>
        </w:rPr>
        <w:t xml:space="preserve">e identidade e do documento que lhe dê poderes para manifestar-se durante os procedimentos relativos a esta chamada pública.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 credenciamento poderá ser efetuado durante a sessão pública, antes de quaisquer manifestações em nome do proponente a ser representado.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A não apresentação ou incorreção de quaisquer dos documentos de credenciamento não impedirá a participação do proponente no presente procedimento, porém impedirá o interessado de manifestar-se, de qualquer forma, durante a sessão, em nome do proponente.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Considera-se como representante do proponente qualquer pessoa habilitada, nos termos do estatuto, do instrumento público de procuração, ou particular com firma reconhecida, ou documento equivalente.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Cada credenciado poderá representar apenas um proponente. Aquele que já tiver, na sessão pública, manifestado em nome de um proponente, não poderá mais optar por representar outro, nesta mesma sessão.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Os documentos exigidos nesta chamada pública poderão ser apresentados em original, por qualquer processo de cópia autenticada por cartório competente ou por membro da Comissão, ou publicação em órgão da imprensa oficial. </w:t>
      </w:r>
    </w:p>
    <w:p>
      <w:pPr>
        <w:pStyle w:val="ListParagraph"/>
        <w:numPr>
          <w:ilvl w:val="1"/>
          <w:numId w:val="4"/>
        </w:numPr>
        <w:tabs>
          <w:tab w:val="left" w:pos="567" w:leader="none"/>
        </w:tabs>
        <w:spacing w:lineRule="auto" w:line="360" w:before="0" w:after="0"/>
        <w:jc w:val="both"/>
        <w:rPr/>
      </w:pPr>
      <w:r>
        <w:rPr>
          <w:rFonts w:cs="Times New Roman" w:ascii="Times New Roman" w:hAnsi="Times New Roman"/>
        </w:rPr>
        <w:t xml:space="preserve">Não terá por comprovada a autenticidade de documentos por meio de cópias que não sejam das originais (cópia de cópia). </w:t>
      </w:r>
    </w:p>
    <w:p>
      <w:pPr>
        <w:pStyle w:val="ListParagraph"/>
        <w:numPr>
          <w:ilvl w:val="0"/>
          <w:numId w:val="4"/>
        </w:numPr>
        <w:tabs>
          <w:tab w:val="left" w:pos="567" w:leader="none"/>
        </w:tabs>
        <w:spacing w:lineRule="auto" w:line="360" w:before="0" w:after="0"/>
        <w:jc w:val="both"/>
        <w:rPr>
          <w:rFonts w:ascii="Times New Roman" w:hAnsi="Times New Roman" w:cs="Times New Roman"/>
          <w:b/>
          <w:b/>
          <w:color w:val="000000"/>
        </w:rPr>
      </w:pPr>
      <w:r>
        <w:rPr>
          <w:rFonts w:eastAsia="Times New Roman" w:cs="Times New Roman" w:ascii="Times New Roman" w:hAnsi="Times New Roman"/>
          <w:b/>
          <w:lang w:eastAsia="pt-BR"/>
        </w:rPr>
        <w:t>DA APRESENTAÇÃO DOS ENVELOPES</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rPr>
        <w:t xml:space="preserve">Os envelopes deverão ser entregues no Setor de Licitações e Contratos do Campus Panambi, localizado na Rua Erechim, 860, Bairro Planalto, CEP 98.280-000, município de Panambi, RS.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Cada participante deverá apresentar dois envelopes, um contendo os documentos de habilitação e outro com o projeto de venda.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Os envelopes poderão ser entregues à Comissão por qualquer pessoa, desde que apresente seu documento de identidade, para a qual será emitido o respectivo recibo.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A fim de evitar riscos quanto a eventuais polêmicas sobre a entrega tempestiva dos envelopes, </w:t>
      </w:r>
      <w:r>
        <w:rPr>
          <w:rFonts w:cs="Times New Roman" w:ascii="Times New Roman" w:hAnsi="Times New Roman"/>
          <w:b/>
        </w:rPr>
        <w:t>NÃO</w:t>
      </w:r>
      <w:r>
        <w:rPr>
          <w:rFonts w:cs="Times New Roman" w:ascii="Times New Roman" w:hAnsi="Times New Roman"/>
        </w:rPr>
        <w:t xml:space="preserve"> será aceito o envio de envelopes por via postal.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 Campus Panambi não se responsabilizará por envelopes entregues a secretárias, recepcionistas ou em qualquer outra repartição do órgão que não seja o Setor de Licitações e Contratos para as pessoas da Comissão.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Se por ventura mais de um envelope de um mesmo participante, com o mesmo conteúdo, for entregue à Comissão, terá preferência, para efeito de participação na disputa, aquele apresentado por representante devidamente credenciado pelo participante; se mais de um envelope do mesmo participante tiver sido entregue desta forma, terá preferência aquele apresentado por último, tempestivamente.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Envelopes apresentados após o momento definido previamente no preâmbulo deste edital somente serão recebidos se o responsável por entregá-los apresentar-se para tanto, no Setor de Licitações, até o horário limite determinado, e estiver aguardando o atendimento pela Comissão.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Depois de ultrapassado esse horário, exceto na situação acima, nenhum outro será recebido, tampouco serão permitidos quaisquer adendos ou esclarecimentos relativos à documentação. </w:t>
      </w:r>
    </w:p>
    <w:p>
      <w:pPr>
        <w:pStyle w:val="ListParagraph"/>
        <w:numPr>
          <w:ilvl w:val="1"/>
          <w:numId w:val="4"/>
        </w:numPr>
        <w:tabs>
          <w:tab w:val="left" w:pos="567" w:leader="none"/>
        </w:tabs>
        <w:spacing w:lineRule="auto" w:line="360" w:before="0" w:afterAutospacing="1"/>
        <w:jc w:val="both"/>
        <w:rPr>
          <w:rFonts w:ascii="Times New Roman" w:hAnsi="Times New Roman" w:cs="Times New Roman"/>
          <w:b/>
          <w:b/>
          <w:color w:val="000000"/>
        </w:rPr>
      </w:pPr>
      <w:r>
        <w:rPr>
          <w:rFonts w:eastAsia="Times New Roman" w:cs="Times New Roman" w:ascii="Times New Roman" w:hAnsi="Times New Roman"/>
          <w:lang w:eastAsia="pt-BR"/>
        </w:rPr>
        <w:t>Deverão apresentar os documentos de habilitação e a sua proposta em envelopes distintos, lacrados, não transparentes, identificados, respectivamente, como de n° 1 e n° 2, para o que se sugere a seguinte inscrição:</w:t>
      </w:r>
    </w:p>
    <w:p>
      <w:pPr>
        <w:pStyle w:val="ListParagraph"/>
        <w:tabs>
          <w:tab w:val="left" w:pos="567" w:leader="none"/>
        </w:tabs>
        <w:spacing w:lineRule="auto" w:line="360" w:beforeAutospacing="1" w:afterAutospacing="1"/>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tabs>
          <w:tab w:val="left" w:pos="567" w:leader="none"/>
        </w:tabs>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mc:AlternateContent>
          <mc:Choice Requires="wps">
            <w:drawing>
              <wp:anchor behindDoc="0" distT="0" distB="0" distL="114300" distR="114300" simplePos="0" locked="0" layoutInCell="1" allowOverlap="1" relativeHeight="2" wp14:anchorId="02FBE4AC">
                <wp:simplePos x="0" y="0"/>
                <wp:positionH relativeFrom="column">
                  <wp:posOffset>491490</wp:posOffset>
                </wp:positionH>
                <wp:positionV relativeFrom="paragraph">
                  <wp:posOffset>85725</wp:posOffset>
                </wp:positionV>
                <wp:extent cx="4328795" cy="2206625"/>
                <wp:effectExtent l="0" t="0" r="19050" b="28575"/>
                <wp:wrapNone/>
                <wp:docPr id="1" name="Retângulo 1"/>
                <a:graphic xmlns:a="http://schemas.openxmlformats.org/drawingml/2006/main">
                  <a:graphicData uri="http://schemas.microsoft.com/office/word/2010/wordprocessingShape">
                    <wps:wsp>
                      <wps:cNvSpPr/>
                      <wps:spPr>
                        <a:xfrm>
                          <a:off x="0" y="0"/>
                          <a:ext cx="4328280" cy="2206080"/>
                        </a:xfrm>
                        <a:prstGeom prst="rect">
                          <a:avLst/>
                        </a:prstGeom>
                        <a:noFill/>
                        <a:ln>
                          <a:round/>
                        </a:ln>
                      </wps:spPr>
                      <wps:style>
                        <a:lnRef idx="2">
                          <a:schemeClr val="dk1">
                            <a:shade val="50000"/>
                          </a:schemeClr>
                        </a:lnRef>
                        <a:fillRef idx="1">
                          <a:schemeClr val="dk1"/>
                        </a:fillRef>
                        <a:effectRef idx="0">
                          <a:schemeClr val="dk1"/>
                        </a:effectRef>
                        <a:fontRef idx="minor"/>
                      </wps:style>
                      <wps:bodyPr/>
                    </wps:wsp>
                  </a:graphicData>
                </a:graphic>
              </wp:anchor>
            </w:drawing>
          </mc:Choice>
          <mc:Fallback>
            <w:pict>
              <v:rect id="shape_0" ID="Retângulo 1" stroked="t" style="position:absolute;margin-left:38.7pt;margin-top:6.75pt;width:340.75pt;height:173.65pt" wp14:anchorId="02FBE4AC">
                <w10:wrap type="none"/>
                <v:fill o:detectmouseclick="t" on="false"/>
                <v:stroke color="black" weight="25560" joinstyle="round" endcap="flat"/>
              </v:rect>
            </w:pict>
          </mc:Fallback>
        </mc:AlternateConten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IFFARROUPILHA- CAMPUS PANAMBI</w:t>
      </w:r>
    </w:p>
    <w:p>
      <w:pPr>
        <w:pStyle w:val="Normal"/>
        <w:tabs>
          <w:tab w:val="left" w:pos="0" w:leader="none"/>
        </w:tabs>
        <w:spacing w:lineRule="auto" w:line="360" w:beforeAutospacing="1" w:afterAutospacing="1"/>
        <w:ind w:left="142" w:hanging="0"/>
        <w:jc w:val="center"/>
        <w:rPr/>
      </w:pPr>
      <w:r>
        <w:rPr>
          <w:rFonts w:eastAsia="Times New Roman" w:cs="Times New Roman" w:ascii="Times New Roman" w:hAnsi="Times New Roman"/>
          <w:b/>
          <w:lang w:eastAsia="pt-BR"/>
        </w:rPr>
        <w:t>EDITAL DE CHAMADA PÚBLICA N° 01/2019</w:t>
      </w:r>
    </w:p>
    <w:p>
      <w:pPr>
        <w:pStyle w:val="ListParagraph"/>
        <w:tabs>
          <w:tab w:val="left" w:pos="0" w:leader="none"/>
        </w:tabs>
        <w:spacing w:lineRule="auto" w:line="360" w:beforeAutospacing="1" w:afterAutospacing="1"/>
        <w:ind w:left="360"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ENVELOPE N° 01 – DOCUMENTOS DE HABILITAÇÃO</w: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PROPONENTE (NOME COMPLETO)</w:t>
      </w:r>
    </w:p>
    <w:p>
      <w:pPr>
        <w:pStyle w:val="Normal"/>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mc:AlternateContent>
          <mc:Choice Requires="wps">
            <w:drawing>
              <wp:anchor behindDoc="0" distT="0" distB="0" distL="114300" distR="114300" simplePos="0" locked="0" layoutInCell="1" allowOverlap="1" relativeHeight="3" wp14:anchorId="756D2ACB">
                <wp:simplePos x="0" y="0"/>
                <wp:positionH relativeFrom="column">
                  <wp:posOffset>1062990</wp:posOffset>
                </wp:positionH>
                <wp:positionV relativeFrom="paragraph">
                  <wp:posOffset>332105</wp:posOffset>
                </wp:positionV>
                <wp:extent cx="3404870" cy="1932305"/>
                <wp:effectExtent l="0" t="0" r="28575" b="13970"/>
                <wp:wrapNone/>
                <wp:docPr id="2" name="Retângulo 3"/>
                <a:graphic xmlns:a="http://schemas.openxmlformats.org/drawingml/2006/main">
                  <a:graphicData uri="http://schemas.microsoft.com/office/word/2010/wordprocessingShape">
                    <wps:wsp>
                      <wps:cNvSpPr/>
                      <wps:spPr>
                        <a:xfrm>
                          <a:off x="0" y="0"/>
                          <a:ext cx="3404160" cy="1931760"/>
                        </a:xfrm>
                        <a:prstGeom prst="rect">
                          <a:avLst/>
                        </a:prstGeom>
                        <a:noFill/>
                        <a:ln>
                          <a:round/>
                        </a:ln>
                      </wps:spPr>
                      <wps:style>
                        <a:lnRef idx="2">
                          <a:schemeClr val="dk1">
                            <a:shade val="50000"/>
                          </a:schemeClr>
                        </a:lnRef>
                        <a:fillRef idx="1">
                          <a:schemeClr val="dk1"/>
                        </a:fillRef>
                        <a:effectRef idx="0">
                          <a:schemeClr val="dk1"/>
                        </a:effectRef>
                        <a:fontRef idx="minor"/>
                      </wps:style>
                      <wps:bodyPr/>
                    </wps:wsp>
                  </a:graphicData>
                </a:graphic>
              </wp:anchor>
            </w:drawing>
          </mc:Choice>
          <mc:Fallback>
            <w:pict>
              <v:rect id="shape_0" ID="Retângulo 3" stroked="t" style="position:absolute;margin-left:83.7pt;margin-top:26.15pt;width:268pt;height:152.05pt" wp14:anchorId="756D2ACB">
                <w10:wrap type="none"/>
                <v:fill o:detectmouseclick="t" on="false"/>
                <v:stroke color="black" weight="25560" joinstyle="round" endcap="flat"/>
              </v:rect>
            </w:pict>
          </mc:Fallback>
        </mc:AlternateConten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IFFARROUPILHA – CAMPUS PANAMBI</w:t>
      </w:r>
    </w:p>
    <w:p>
      <w:pPr>
        <w:pStyle w:val="Normal"/>
        <w:tabs>
          <w:tab w:val="left" w:pos="0" w:leader="none"/>
        </w:tabs>
        <w:spacing w:lineRule="auto" w:line="360" w:beforeAutospacing="1" w:afterAutospacing="1"/>
        <w:ind w:left="142" w:hanging="0"/>
        <w:jc w:val="center"/>
        <w:rPr/>
      </w:pPr>
      <w:r>
        <w:rPr>
          <w:rFonts w:eastAsia="Times New Roman" w:cs="Times New Roman" w:ascii="Times New Roman" w:hAnsi="Times New Roman"/>
          <w:b/>
          <w:lang w:eastAsia="pt-BR"/>
        </w:rPr>
        <w:t>EDITAL DE CHAMADA PÚBLICA N° 01/2019</w: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ENVELOPE N° 02 – PROPOSTA DE VENDA</w: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PROPONENTE (NOME COMPLETO)</w:t>
      </w:r>
    </w:p>
    <w:p>
      <w:pPr>
        <w:pStyle w:val="ListParagraph"/>
        <w:tabs>
          <w:tab w:val="left" w:pos="567" w:leader="none"/>
        </w:tabs>
        <w:spacing w:lineRule="auto" w:line="360" w:beforeAutospacing="1" w:afterAutospacing="1"/>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tabs>
          <w:tab w:val="left" w:pos="567" w:leader="none"/>
        </w:tabs>
        <w:spacing w:lineRule="auto" w:line="360" w:beforeAutospacing="1" w:afterAutospacing="1"/>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1"/>
          <w:numId w:val="4"/>
        </w:numPr>
        <w:tabs>
          <w:tab w:val="left" w:pos="567" w:leader="none"/>
        </w:tabs>
        <w:spacing w:lineRule="auto" w:line="360" w:beforeAutospacing="1" w:after="0"/>
        <w:jc w:val="both"/>
        <w:rPr/>
      </w:pPr>
      <w:r>
        <w:rPr>
          <w:rFonts w:eastAsia="Times New Roman" w:cs="Times New Roman" w:ascii="Times New Roman" w:hAnsi="Times New Roman"/>
          <w:lang w:eastAsia="pt-BR"/>
        </w:rPr>
        <w:t xml:space="preserve">Divergências dos dizeres na parte externa dos envelopes em relação à forma acima indicada não serão impedimento para participação na dispensa de licitação, desde que não deixem dúvidas quanto à chamada pública a que se referem e o(s) participante(s), detentor (es) deste(s). </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 xml:space="preserve">Os envelopes que não forem entregues nas condições acima estipuladas não gerarão efeitos para fins de participação no procedimento. </w:t>
      </w:r>
    </w:p>
    <w:p>
      <w:pPr>
        <w:pStyle w:val="ListParagraph"/>
        <w:numPr>
          <w:ilvl w:val="0"/>
          <w:numId w:val="4"/>
        </w:numPr>
        <w:tabs>
          <w:tab w:val="left" w:pos="567" w:leader="none"/>
        </w:tabs>
        <w:spacing w:lineRule="auto" w:line="360" w:before="0" w:after="0"/>
        <w:jc w:val="both"/>
        <w:rPr/>
      </w:pPr>
      <w:r>
        <w:rPr>
          <w:rFonts w:eastAsia="Times New Roman" w:cs="Times New Roman" w:ascii="Times New Roman" w:hAnsi="Times New Roman"/>
          <w:b/>
          <w:lang w:eastAsia="pt-BR"/>
        </w:rPr>
        <w:t>DOCUMENTOS DE HABILITAÇÃO DO ENVELOPE (Nº01).</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Para a habilitação, os participantes deverão apresentar os documentos a seguir relacionados, conforme o tipo de fornecedor que se enquadrem.</w:t>
      </w:r>
    </w:p>
    <w:p>
      <w:pPr>
        <w:pStyle w:val="ListParagraph"/>
        <w:numPr>
          <w:ilvl w:val="2"/>
          <w:numId w:val="4"/>
        </w:numPr>
        <w:tabs>
          <w:tab w:val="left" w:pos="567" w:leader="none"/>
        </w:tabs>
        <w:spacing w:lineRule="auto" w:line="360" w:before="0" w:afterAutospacing="1"/>
        <w:ind w:left="851" w:hanging="504"/>
        <w:jc w:val="both"/>
        <w:rPr/>
      </w:pPr>
      <w:r>
        <w:rPr>
          <w:rFonts w:eastAsia="Times New Roman" w:cs="Times New Roman" w:ascii="Times New Roman" w:hAnsi="Times New Roman"/>
          <w:lang w:eastAsia="pt-BR"/>
        </w:rPr>
        <w:t xml:space="preserve">Documentos para </w:t>
      </w:r>
      <w:r>
        <w:rPr>
          <w:rFonts w:eastAsia="Times New Roman" w:cs="Times New Roman" w:ascii="Times New Roman" w:hAnsi="Times New Roman"/>
          <w:b/>
          <w:lang w:eastAsia="pt-BR"/>
        </w:rPr>
        <w:t>Fornecedores Individuais</w:t>
      </w:r>
      <w:r>
        <w:rPr>
          <w:rFonts w:eastAsia="Times New Roman" w:cs="Times New Roman" w:ascii="Times New Roman" w:hAnsi="Times New Roman"/>
          <w:lang w:eastAsia="pt-BR"/>
        </w:rPr>
        <w:t>, detentores de DAP Física (não organizados em grupo). O Fornecedor Individual deverá apresentar no envelope nº 01 os documentos abaixo relacionados, sob pena de inabilitação:</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 -prova de inscrição no Cadastro de Pessoa Física - CPF;</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extrato da DAP Física do agricultor familiar participante, emitido nos últimos 60 dias;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-prova de atendimento de requisitos previstos em lei específica, quando for o caso; e</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IV - declaração de que os gêneros alimentícios a serem entregues são oriundos de produção própria, relacionada no projeto de venda, conforme Anexo VI deste edital.</w:t>
      </w:r>
    </w:p>
    <w:p>
      <w:pPr>
        <w:pStyle w:val="ListParagraph"/>
        <w:numPr>
          <w:ilvl w:val="2"/>
          <w:numId w:val="4"/>
        </w:numPr>
        <w:spacing w:lineRule="auto" w:line="360" w:beforeAutospacing="1" w:afterAutospacing="1"/>
        <w:ind w:left="709" w:hanging="504"/>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Documentos para o </w:t>
      </w:r>
      <w:r>
        <w:rPr>
          <w:rFonts w:eastAsia="Times New Roman" w:cs="Times New Roman" w:ascii="Times New Roman" w:hAnsi="Times New Roman"/>
          <w:b/>
          <w:lang w:eastAsia="pt-BR"/>
        </w:rPr>
        <w:t>Grupo Informal</w:t>
      </w:r>
      <w:r>
        <w:rPr>
          <w:rFonts w:eastAsia="Times New Roman" w:cs="Times New Roman" w:ascii="Times New Roman" w:hAnsi="Times New Roman"/>
          <w:lang w:eastAsia="pt-BR"/>
        </w:rPr>
        <w:t xml:space="preserve"> de agricultores familiares, detentores de DAP Física </w:t>
      </w:r>
      <w:r>
        <w:rPr>
          <w:rFonts w:eastAsia="Times New Roman" w:cs="Times New Roman" w:ascii="Times New Roman" w:hAnsi="Times New Roman"/>
          <w:bCs/>
          <w:kern w:val="2"/>
          <w:lang w:eastAsia="pt-BR"/>
        </w:rPr>
        <w:t>(organizados em grupo) apresentar no Envelope nº 01, os documentos abaixo relacionados,</w:t>
      </w:r>
      <w:r>
        <w:rPr>
          <w:rFonts w:eastAsia="Times New Roman" w:cs="Times New Roman" w:ascii="Times New Roman" w:hAnsi="Times New Roman"/>
          <w:lang w:eastAsia="pt-BR"/>
        </w:rPr>
        <w:t xml:space="preserve"> sob pena de inabilitação:</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 - prova de inscrição no Cadastro de Pessoa Física – CPF de cada participante;</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extrato da DAP Física de cada agricultor familiar participante, emitido nos últimos 60 dias;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 prova de atendimento de requisitos previstos em lei específica, quando for o caso; e</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IV - a declaração de que os gêneros alimentícios a serem entregues são produzidos pelos agricultores familiares relacionados no projeto de venda, conforme Anexo VI deste edital.</w:t>
      </w:r>
    </w:p>
    <w:p>
      <w:pPr>
        <w:pStyle w:val="ListParagraph"/>
        <w:numPr>
          <w:ilvl w:val="2"/>
          <w:numId w:val="4"/>
        </w:numPr>
        <w:tabs>
          <w:tab w:val="left" w:pos="567" w:leader="none"/>
        </w:tabs>
        <w:spacing w:lineRule="auto" w:line="360" w:beforeAutospacing="1" w:afterAutospacing="1"/>
        <w:ind w:left="851" w:hanging="504"/>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O </w:t>
      </w:r>
      <w:r>
        <w:rPr>
          <w:rFonts w:eastAsia="Times New Roman" w:cs="Times New Roman" w:ascii="Times New Roman" w:hAnsi="Times New Roman"/>
          <w:b/>
          <w:lang w:eastAsia="pt-BR"/>
        </w:rPr>
        <w:t>Grupo Formal</w:t>
      </w:r>
      <w:r>
        <w:rPr>
          <w:rFonts w:eastAsia="Times New Roman" w:cs="Times New Roman" w:ascii="Times New Roman" w:hAnsi="Times New Roman"/>
          <w:lang w:eastAsia="pt-BR"/>
        </w:rPr>
        <w:t xml:space="preserve"> de agricultores familiares, detentores de DAP Jurídica, deverá apresentar no Envelope nº 01, os documentos abaixo relacionados, sob pena de inabilitação:</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 - prova de inscrição no Cadastro Nacional de Pessoa Jurídica - CNPJ;</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extrato da DAP Jurídica para associações e cooperativas, emitido nos últimos 60 dias;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 prova de regularidade com a Fazenda Federal, relativa à Seguridade Social e ao Fundo de Garantia por Tempo de Serviço - FGTS;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IV - cópias do estatuto e ata de posse da atual diretoria da entidade registrada no órgão competente (Junta Comercial, no caso de cooperativas, ou Cartório de Registro Civil de pessoas Jurídico, no caso de associações). </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V - declaração de que os gêneros alimentícios a serem entregues são produzidos pelos associados/cooperados, conforme Anexo VI deste edital.</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VI - declaração do seu representante legal de responsabilidade pelo controle do atendimento do limite individual de venda de seus cooperados/associados, conforme Anexo VII deste edital.</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VII - prova de atendimento de requisitos previstos em lei específica, quando for o caso; </w:t>
      </w:r>
    </w:p>
    <w:p>
      <w:pPr>
        <w:pStyle w:val="ListParagraph"/>
        <w:numPr>
          <w:ilvl w:val="1"/>
          <w:numId w:val="4"/>
        </w:numPr>
        <w:tabs>
          <w:tab w:val="left" w:pos="567" w:leader="none"/>
        </w:tabs>
        <w:spacing w:lineRule="auto" w:line="360" w:beforeAutospacing="1" w:after="0"/>
        <w:ind w:left="426" w:hanging="432"/>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Não será considerado inabilitado o grupo formal que deixar de apresentar no envelope a prova de regularidade com a Fazenda Federal, relativa à Seguridade Social e ao Fundo de Garantia por Tempo de Serviço – FGTS, desde que a Comissão logre êxito em comprovar tais regularidades por meio de consulta online na Internet, procedimento a ser realizado, se necessário, logo após a abertura do(s) envelope(s). </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Cada documento deverá ser apresentado em uma via, podendo ser o original, cópia autenticada por cartório competente ou por membro da Comissão Permanente de Licitação para Chamada Publica, no momento da abertura dos envelopes, mediante apresentação da original. </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Toda a documentação deverá estar vigente, sem emendas, rasuras ou ressalvas. </w:t>
      </w:r>
    </w:p>
    <w:p>
      <w:pPr>
        <w:pStyle w:val="ListParagraph"/>
        <w:numPr>
          <w:ilvl w:val="1"/>
          <w:numId w:val="4"/>
        </w:numPr>
        <w:tabs>
          <w:tab w:val="left" w:pos="567" w:leader="none"/>
        </w:tabs>
        <w:spacing w:lineRule="auto" w:line="360" w:before="0" w:after="0"/>
        <w:ind w:left="426" w:hanging="432"/>
        <w:jc w:val="both"/>
        <w:rPr/>
      </w:pPr>
      <w:r>
        <w:rPr>
          <w:rFonts w:eastAsia="Times New Roman" w:cs="Times New Roman" w:ascii="Times New Roman" w:hAnsi="Times New Roman"/>
          <w:lang w:eastAsia="pt-BR"/>
        </w:rPr>
        <w:t xml:space="preserve">Na ausência ou irregularidade de quaisquer dos documentos de habilitação, a Comissão, a seu critério, poderá conceder prazo para regularização, observado o tratamento isonômico a todos os proponentes. </w:t>
      </w:r>
    </w:p>
    <w:p>
      <w:pPr>
        <w:pStyle w:val="ListParagraph"/>
        <w:numPr>
          <w:ilvl w:val="0"/>
          <w:numId w:val="4"/>
        </w:numPr>
        <w:tabs>
          <w:tab w:val="left" w:pos="567" w:leader="none"/>
        </w:tabs>
        <w:spacing w:lineRule="auto" w:line="360" w:before="0" w:after="0"/>
        <w:jc w:val="both"/>
        <w:rPr/>
      </w:pPr>
      <w:r>
        <w:rPr>
          <w:rFonts w:eastAsia="Times New Roman" w:cs="Times New Roman" w:ascii="Times New Roman" w:hAnsi="Times New Roman"/>
          <w:b/>
          <w:lang w:eastAsia="pt-BR"/>
        </w:rPr>
        <w:t>DOCUMENTOS DOS PROJETOS DE VENDA DO ENVELOPE (Nº 02)</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No envelope nº 02 os Fornecedores Individuais, conforme modelo (anexo III), Grupos Informais (anexo IV) ou Grupos Formais (anexo V), deverão apresentar a proposta com o Projeto de Venda de Gêneros Alimentícios da Agricultura Familiar, de forma legível em uma via, sem emendas ou rasuras, contendo preço (os) unitário(s) e total (is), propostos em moeda corrente do pais.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 apresentação de Projeto de Venda para a contratação pretendida implica concordância do proponente em fornecer os produtos pelo preço de referência constante no Termo de Referência, independentemente do valor apresentado em sua proposta.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Os gêneros alimentícios deverão atender ao disposto na legislação de alimentos, estabelecida pela Agência Nacional de Vigilância Sanitária/Ministério da Saúde e pelo Ministério da Agricultura, Pecuária e Abastecimento – MDA, através das Resoluções RDC nº 259/02 e 216/2004 – ANVISA; </w:t>
      </w:r>
    </w:p>
    <w:p>
      <w:pPr>
        <w:pStyle w:val="ListParagraph"/>
        <w:numPr>
          <w:ilvl w:val="1"/>
          <w:numId w:val="4"/>
        </w:numPr>
        <w:tabs>
          <w:tab w:val="left" w:pos="567" w:leader="none"/>
        </w:tabs>
        <w:spacing w:lineRule="auto" w:line="360" w:before="0" w:afterAutospacing="1"/>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O limite individual de venda do agricultor familiar e do empreendedor familiar rural para a alimentação escolar deverá respeitar o valor máximo de R$20.000,00 (vinte mil reais), por DAP/Ano/ IF Farroupilha- Campus Panambi, e obedecerão as seguintes regras:</w:t>
      </w:r>
    </w:p>
    <w:p>
      <w:pPr>
        <w:pStyle w:val="Corpodetextorecuado"/>
        <w:rPr>
          <w:rFonts w:ascii="Times New Roman" w:hAnsi="Times New Roman" w:cs="Times New Roman"/>
        </w:rPr>
      </w:pPr>
      <w:r>
        <w:rPr>
          <w:rFonts w:cs="Times New Roman" w:ascii="Times New Roman" w:hAnsi="Times New Roman"/>
        </w:rPr>
        <w:t>I - Para a comercialização com fornecedores individuais e grupos informais, os contratos individuais firmados deverão respeitar o valor máximo de R$20.000,00 (vinte mil reais), por DAP/Ano/IF Farroupilha- Campus Panambi.</w:t>
      </w:r>
    </w:p>
    <w:p>
      <w:pPr>
        <w:pStyle w:val="Corpodetextorecuado"/>
        <w:rPr>
          <w:rFonts w:ascii="Times New Roman" w:hAnsi="Times New Roman" w:cs="Times New Roman"/>
        </w:rPr>
      </w:pPr>
      <w:r>
        <w:rPr>
          <w:rFonts w:cs="Times New Roman" w:ascii="Times New Roman" w:hAnsi="Times New Roman"/>
        </w:rPr>
        <w:t>II - Para a comercialização com grupos formais o montante máximo a ser contratado será o resultado do número de agricultores familiares inscritos na DAP jurídica multiplicado pelo limite individual de comercialização, utilizando a seguinte fórmula:</w:t>
      </w:r>
    </w:p>
    <w:p>
      <w:pPr>
        <w:pStyle w:val="BodyText2"/>
        <w:ind w:left="567" w:hanging="0"/>
        <w:rPr>
          <w:rFonts w:ascii="Times New Roman" w:hAnsi="Times New Roman" w:cs="Times New Roman"/>
        </w:rPr>
      </w:pPr>
      <w:r>
        <w:rPr>
          <w:rFonts w:cs="Times New Roman" w:ascii="Times New Roman" w:hAnsi="Times New Roman"/>
        </w:rPr>
        <w:t>Valor máximo a ser contratado = nº de agricultores familiares inscritos na DAP jurídica x R$ 20.000,00.</w:t>
      </w:r>
    </w:p>
    <w:p>
      <w:pPr>
        <w:pStyle w:val="ListParagraph"/>
        <w:numPr>
          <w:ilvl w:val="1"/>
          <w:numId w:val="4"/>
        </w:numPr>
        <w:spacing w:lineRule="auto" w:line="360" w:beforeAutospacing="1" w:afterAutospacing="1"/>
        <w:ind w:left="142" w:hanging="0"/>
        <w:jc w:val="both"/>
        <w:rPr>
          <w:rFonts w:ascii="Times New Roman" w:hAnsi="Times New Roman" w:cs="Times New Roman"/>
        </w:rPr>
      </w:pPr>
      <w:r>
        <w:rPr>
          <w:rFonts w:cs="Times New Roman" w:ascii="Times New Roman" w:hAnsi="Times New Roman"/>
        </w:rPr>
        <w:t xml:space="preserve">Os agricultores familiares, detentores de DAP Física, poderão contar com uma Entidade Articuladora que poderá, nesse caso, auxiliar na elaboração do Projeto de Venda de Gêneros Alimentícios da Agricultura Familiar para a Alimentação Escolar. </w:t>
      </w:r>
    </w:p>
    <w:p>
      <w:pPr>
        <w:pStyle w:val="ListParagraph"/>
        <w:tabs>
          <w:tab w:val="left" w:pos="567" w:leader="none"/>
        </w:tabs>
        <w:spacing w:lineRule="auto" w:line="360" w:beforeAutospacing="1" w:afterAutospacing="1"/>
        <w:ind w:left="0" w:hanging="0"/>
        <w:jc w:val="both"/>
        <w:rPr/>
      </w:pPr>
      <w:r>
        <w:rPr>
          <w:rFonts w:cs="Times New Roman" w:ascii="Times New Roman" w:hAnsi="Times New Roman"/>
        </w:rPr>
        <w:t xml:space="preserve"> </w:t>
      </w:r>
      <w:r>
        <w:rPr>
          <w:rFonts w:cs="Times New Roman" w:ascii="Times New Roman" w:hAnsi="Times New Roman"/>
        </w:rPr>
        <w:t>As Entidades Articuladoras são aquelas definidas pelo Ministério de Desenvolvimento Agrário – MDA.</w:t>
      </w:r>
    </w:p>
    <w:p>
      <w:pPr>
        <w:pStyle w:val="ListParagraph"/>
        <w:numPr>
          <w:ilvl w:val="0"/>
          <w:numId w:val="4"/>
        </w:numPr>
        <w:tabs>
          <w:tab w:val="left" w:pos="567" w:leader="none"/>
        </w:tabs>
        <w:spacing w:lineRule="auto" w:line="360" w:beforeAutospacing="1" w:after="0"/>
        <w:jc w:val="both"/>
        <w:rPr>
          <w:rFonts w:ascii="Times New Roman" w:hAnsi="Times New Roman" w:cs="Times New Roman"/>
        </w:rPr>
      </w:pPr>
      <w:r>
        <w:rPr>
          <w:rFonts w:cs="Times New Roman" w:ascii="Times New Roman" w:hAnsi="Times New Roman"/>
          <w:b/>
        </w:rPr>
        <w:t xml:space="preserve">PROCEDIMENTO DE ABERTURA DOS ENVELOPES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No dia, horário e local designado neste edital, a Comissão dará início à sessão pública.</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Os atos públicos poderão ser assistidos por qualquer pessoa, mas somente deles participarão ativamente os proponentes ou representantes credenciados, não sendo permitidas atitudes desrespeitosas ou que causem tumultos e perturbem o bom andamento dos trabalhos.</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Após assinatura nos envelopes pelos membros da Comissão e pelos proponentes, proceder-se-á a abertura desses, quando então a documentação de habilitação será analisada, conforme item próprio deste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As documentações dos envelopes também deverão ser rubricadas pelos membros da Comissão e pelos proponentes e representantes presentes.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Caso a Comissão julgue conveniente, poderá suspender a reunião para analisar os documentos apresentados, marcando, na oportunidade, nova data e horário em que voltará a se reunir, informando os interessados.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Em todos os atos públicos, serão lavradas atas circunstanciadas, assinadas pelos membros da Comissão e pelos representantes credenciados e proponentes presentes.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eastAsia="Times New Roman" w:cs="Times New Roman" w:ascii="Times New Roman" w:hAnsi="Times New Roman"/>
          <w:lang w:eastAsia="pt-BR"/>
        </w:rPr>
        <w:t>A relação dos proponentes dos projetos de venda será apresentada em sessão pública e registrada em ata, após o término do prazo de apresentação dos projetos. O resultado da seleção será publicado em até dois (2) dias após o prazo da publicação da relação dos proponentes e no prazo de até cinco (5) dias o(s) selecionado(s) será (ão) convocado(s) para assinatura do(s) contrato(s).</w:t>
      </w:r>
    </w:p>
    <w:p>
      <w:pPr>
        <w:pStyle w:val="ListParagraph"/>
        <w:numPr>
          <w:ilvl w:val="1"/>
          <w:numId w:val="4"/>
        </w:numPr>
        <w:tabs>
          <w:tab w:val="left" w:pos="567" w:leader="none"/>
        </w:tabs>
        <w:spacing w:lineRule="auto" w:line="360" w:before="0" w:after="0"/>
        <w:ind w:left="142" w:hanging="83"/>
        <w:jc w:val="both"/>
        <w:rPr/>
      </w:pPr>
      <w:r>
        <w:rPr>
          <w:rFonts w:eastAsia="Times New Roman" w:cs="Times New Roman" w:ascii="Times New Roman" w:hAnsi="Times New Roman"/>
          <w:lang w:eastAsia="pt-BR"/>
        </w:rPr>
        <w:t>Na ausência ou desconformidade de qualquer desses documentos constatada na abertura dos envelopes poderá ser concedido abertura de prazo para sua regularização de até 01dia, conforme análise da Comissão Julgadora.</w:t>
      </w:r>
    </w:p>
    <w:p>
      <w:pPr>
        <w:pStyle w:val="ListParagraph"/>
        <w:numPr>
          <w:ilvl w:val="0"/>
          <w:numId w:val="4"/>
        </w:numPr>
        <w:tabs>
          <w:tab w:val="left" w:pos="567" w:leader="none"/>
        </w:tabs>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 xml:space="preserve">CRITÉRIOS PARA A ESCOLHA DO FORNECEDOR </w:t>
      </w:r>
    </w:p>
    <w:p>
      <w:pPr>
        <w:pStyle w:val="ListParagraph"/>
        <w:numPr>
          <w:ilvl w:val="1"/>
          <w:numId w:val="4"/>
        </w:numPr>
        <w:tabs>
          <w:tab w:val="left" w:pos="567" w:leader="none"/>
        </w:tabs>
        <w:spacing w:lineRule="auto" w:line="360" w:before="0" w:after="0"/>
        <w:ind w:left="0" w:hanging="0"/>
        <w:jc w:val="both"/>
        <w:rPr>
          <w:rFonts w:ascii="Times New Roman" w:hAnsi="Times New Roman" w:cs="Times New Roman"/>
        </w:rPr>
      </w:pPr>
      <w:r>
        <w:rPr>
          <w:rFonts w:cs="Times New Roman" w:ascii="Times New Roman" w:hAnsi="Times New Roman"/>
        </w:rPr>
        <w:t xml:space="preserve">Conforme determina o art. 25 da Resolução 26 CD/FNDE/2013, alterada pela resolução 04 FNDE/CD/2015, os projetos habilitados serão divididos em grupos que serão priorizados conforme parágrafo 1º da mesma resolução e para priorização das propostas entre os grupos deverá ser observado a seguinte ordem para prioridade, como segue: </w:t>
      </w:r>
    </w:p>
    <w:p>
      <w:pPr>
        <w:pStyle w:val="ListParagraph"/>
        <w:numPr>
          <w:ilvl w:val="1"/>
          <w:numId w:val="4"/>
        </w:numPr>
        <w:tabs>
          <w:tab w:val="left" w:pos="567" w:leader="none"/>
        </w:tabs>
        <w:spacing w:lineRule="auto" w:line="360" w:before="0" w:after="0"/>
        <w:ind w:left="0" w:hanging="0"/>
        <w:jc w:val="both"/>
        <w:rPr>
          <w:rFonts w:ascii="Times New Roman" w:hAnsi="Times New Roman" w:cs="Times New Roman"/>
        </w:rPr>
      </w:pPr>
      <w:r>
        <w:rPr>
          <w:rFonts w:eastAsia="Times New Roman" w:cs="Times New Roman" w:ascii="Times New Roman" w:hAnsi="Times New Roman"/>
          <w:lang w:eastAsia="pt-BR"/>
        </w:rPr>
        <w:t>Para seleção, os projetos de venda habilitadas serão divididos em: grupo de projetos de fornecedores locais, grupo de projetos do território rural, grupo de projetos do estado, e grupo de propostas do País.</w:t>
      </w:r>
    </w:p>
    <w:p>
      <w:pPr>
        <w:pStyle w:val="ListParagraph"/>
        <w:numPr>
          <w:ilvl w:val="1"/>
          <w:numId w:val="4"/>
        </w:numPr>
        <w:tabs>
          <w:tab w:val="left" w:pos="567" w:leader="none"/>
        </w:tabs>
        <w:spacing w:lineRule="auto" w:line="360" w:before="0" w:afterAutospacing="1"/>
        <w:ind w:left="0" w:hanging="0"/>
        <w:jc w:val="both"/>
        <w:rPr>
          <w:rFonts w:ascii="Times New Roman" w:hAnsi="Times New Roman" w:cs="Times New Roman"/>
        </w:rPr>
      </w:pPr>
      <w:r>
        <w:rPr>
          <w:rFonts w:eastAsia="Times New Roman" w:cs="Times New Roman" w:ascii="Times New Roman" w:hAnsi="Times New Roman"/>
          <w:lang w:eastAsia="pt-BR"/>
        </w:rPr>
        <w:t>Entre os grupos de projetos, será observada a seguinte ordem de prioridade para seleção:</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 - o grupo de projetos de fornecedores locais terá prioridade sobre os demais grupos.</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II - o grupo de projetos de fornecedores do território rural terá prioridade sobre o do estado e do País.</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III - o grupo de projetos do estado terá prioridade sobre o do País.</w:t>
      </w:r>
    </w:p>
    <w:p>
      <w:pPr>
        <w:pStyle w:val="ListParagraph"/>
        <w:numPr>
          <w:ilvl w:val="1"/>
          <w:numId w:val="4"/>
        </w:numPr>
        <w:tabs>
          <w:tab w:val="left" w:pos="567" w:leader="none"/>
        </w:tabs>
        <w:spacing w:lineRule="auto" w:line="360" w:beforeAutospacing="1" w:afterAutospacing="1"/>
        <w:ind w:left="284"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Em cada grupo de projetos, será observada a seguinte ordem de prioridade para seleção:</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 - os assentamentos de reforma agrária, as comunidades tradicionais indígenas e as comunidades quilombolas, não havendo prioridade entre estes;</w:t>
      </w:r>
    </w:p>
    <w:p>
      <w:pPr>
        <w:pStyle w:val="Normal"/>
        <w:tabs>
          <w:tab w:val="left" w:pos="567" w:leader="none"/>
        </w:tabs>
        <w:spacing w:lineRule="auto" w:line="360" w:beforeAutospacing="1" w:afterAutospacing="1"/>
        <w:ind w:left="567" w:hanging="0"/>
        <w:jc w:val="both"/>
        <w:rPr/>
      </w:pPr>
      <w:r>
        <w:rPr>
          <w:rFonts w:eastAsia="Times New Roman" w:cs="Times New Roman" w:ascii="Times New Roman" w:hAnsi="Times New Roman"/>
          <w:lang w:eastAsia="pt-BR"/>
        </w:rPr>
        <w:t xml:space="preserve">II - os fornecedores de gêneros alimentícios certificados como orgânicos ou agroecológicos, segundo a </w:t>
      </w:r>
      <w:hyperlink r:id="rId2">
        <w:r>
          <w:rPr>
            <w:rStyle w:val="LinkdaInternet"/>
            <w:rFonts w:eastAsia="Times New Roman" w:cs="Times New Roman" w:ascii="Times New Roman" w:hAnsi="Times New Roman"/>
            <w:lang w:eastAsia="pt-BR"/>
          </w:rPr>
          <w:t>Lei nº 10.831, de 23 de dezembro de 2003</w:t>
        </w:r>
      </w:hyperlink>
      <w:r>
        <w:rPr>
          <w:rFonts w:eastAsia="Times New Roman" w:cs="Times New Roman" w:ascii="Times New Roman" w:hAnsi="Times New Roman"/>
          <w:lang w:eastAsia="pt-BR"/>
        </w:rPr>
        <w:t>;</w:t>
      </w:r>
    </w:p>
    <w:p>
      <w:pPr>
        <w:pStyle w:val="Corpodetextorecuado"/>
        <w:tabs>
          <w:tab w:val="left" w:pos="567" w:leader="none"/>
        </w:tabs>
        <w:rPr>
          <w:rFonts w:ascii="Times New Roman" w:hAnsi="Times New Roman" w:cs="Times New Roman"/>
        </w:rPr>
      </w:pPr>
      <w:r>
        <w:rPr>
          <w:rFonts w:cs="Times New Roman" w:ascii="Times New Roman" w:hAnsi="Times New Roman"/>
        </w:rPr>
        <w:t>III -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DAP Física);</w:t>
      </w:r>
    </w:p>
    <w:p>
      <w:pPr>
        <w:pStyle w:val="ListParagraph"/>
        <w:numPr>
          <w:ilvl w:val="1"/>
          <w:numId w:val="4"/>
        </w:numPr>
        <w:tabs>
          <w:tab w:val="left" w:pos="567" w:leader="none"/>
        </w:tabs>
        <w:spacing w:lineRule="auto" w:line="360" w:beforeAutospacing="1" w:after="0"/>
        <w:ind w:left="0" w:firstLine="59"/>
        <w:jc w:val="both"/>
        <w:rPr>
          <w:rFonts w:ascii="Times New Roman" w:hAnsi="Times New Roman" w:eastAsia="Times New Roman" w:cs="Times New Roman"/>
          <w:lang w:eastAsia="pt-BR"/>
        </w:rPr>
      </w:pPr>
      <w:r>
        <w:rPr>
          <w:rFonts w:eastAsia="Times New Roman" w:cs="Times New Roman" w:ascii="Times New Roman" w:hAnsi="Times New Roman"/>
          <w:lang w:eastAsia="pt-BR"/>
        </w:rPr>
        <w:t>Caso o  IFFarroupilha – Campus Panambi não obtenha as quantidades necessárias de produtos oriundos do grupo de projetos de fornecedores locais, estas deverão ser complementadas com os projetos dos demais grupos, em acordo com os critérios de seleção e priorização citados nos itens 12.3 e 12.4.</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cs="Times New Roman" w:ascii="Times New Roman" w:hAnsi="Times New Roman"/>
        </w:rPr>
        <w:t>Serão considerados Grupos Formais e Grupos Informais de assentamentos da reforma agrária, comunidades quilombolas e/ou indígenas aqueles em que a composição seja de, no mínimo, 50%+1 (cinquenta por cento mais um) dos associados/cooperados das organizações produtivas, no caso do grupo formal, e 50%+1 (cinquenta por cento mais um) dos fornecedores agricultores familiares, no caso de grupo informal, conforme identificação na(s) DAP(s).</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cs="Times New Roman" w:ascii="Times New Roman" w:hAnsi="Times New Roman"/>
        </w:rPr>
        <w:t>No caso de empate entre Grupos Formais de assentamentos da reforma agrária, comunidades quilombolas e/ou indígenas, em referência ao disposto no §2º inciso I do artigo 25 da resolução nº 4 de 2 de Abril de 2015, terão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 conforme identificação na(s) DAP(s).</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eastAsia="Times New Roman" w:cs="Times New Roman" w:ascii="Times New Roman" w:hAnsi="Times New Roman"/>
          <w:lang w:eastAsia="pt-BR"/>
        </w:rPr>
        <w:t>No caso de empate entre grupos formais, terão prioridade organizações com maior porcentagem de agricultores familiares e/ou empreendedores familiares rurais no seu quadro de sócios, conforme DAP Jurídica.</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eastAsia="Times New Roman" w:cs="Times New Roman" w:ascii="Times New Roman" w:hAnsi="Times New Roman"/>
          <w:lang w:eastAsia="pt-BR"/>
        </w:rPr>
        <w:t>Em caso de persistir o empate, será realizado sorteio ou, em havendo consenso entre as partes, poderá optar-se pela divisão no fornecimento dos produtos a serem adquiridos entre as organizações finalistas.</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rPr>
        <w:t>O encaminhamento dos projetos de venda pressupõe o pleno conhecimento de todas as exigências contidas no edital de chamada pública e seus anexos e implica a aceitação integral e irretratável aos termos e condições deste edital e seus anexos.</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rPr>
        <w:t>DA HOMOLOGAÇÃO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Após o regular decurso da fase recursal, o processo da chamada Pública será submetido à autoridade competente para que se proceda à devida homologação.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DO RESULTADO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A Comissão divulgará o resultado do processo em até quarenta e oito horas após a conclusão de todos os trabalhos desta chamada pública. O resultado será</w:t>
      </w:r>
      <w:r>
        <w:rPr>
          <w:rFonts w:eastAsia="Times New Roman" w:cs="Times New Roman" w:ascii="Times New Roman" w:hAnsi="Times New Roman"/>
          <w:lang w:eastAsia="pt-BR"/>
        </w:rPr>
        <w:t xml:space="preserve"> fixado em mural, por um período de </w:t>
      </w:r>
      <w:r>
        <w:rPr>
          <w:rFonts w:eastAsia="Times New Roman" w:cs="Times New Roman" w:ascii="Times New Roman" w:hAnsi="Times New Roman"/>
          <w:b/>
          <w:lang w:eastAsia="pt-BR"/>
        </w:rPr>
        <w:t>8 (oito) dias</w:t>
      </w:r>
      <w:r>
        <w:rPr>
          <w:rFonts w:eastAsia="Times New Roman" w:cs="Times New Roman" w:ascii="Times New Roman" w:hAnsi="Times New Roman"/>
          <w:lang w:eastAsia="pt-BR"/>
        </w:rPr>
        <w:t xml:space="preserve"> e por um período mínimo de um ano no sitio eletrônico </w:t>
      </w:r>
      <w:hyperlink r:id="rId3">
        <w:r>
          <w:rPr>
            <w:rStyle w:val="LinkdaInternet"/>
            <w:rFonts w:eastAsia="Times New Roman" w:cs="Times New Roman" w:ascii="Times New Roman" w:hAnsi="Times New Roman"/>
            <w:lang w:eastAsia="pt-BR"/>
          </w:rPr>
          <w:t>http://www.iffarroupilha.edu.br/panambi</w:t>
        </w:r>
      </w:hyperlink>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DO CONTRATO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O(s) proponente(s) vencedor (es) será(ão) convocado(s) para, no prazo de 05 (cinco) dias úteis, contados a partir da intimação, assinar o contrato, sob pena de decair do direito à contratação, sem prejuízo das sanções previstas neste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O prazo previsto no subitem anterior poderá ser prorrogado, por igual período, por solicitação justificada do futuro fornecedor e aceita pela Administração.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Antes da assinatura do contrato, o órgão realizará consulta online para identificar possível proibição de contratar com o Poder Público, cujos resultados serão anexados aos autos do processo.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É facultado à Administração, quando o convocado não assinar o contrato no prazo e condições estabelecidos, convocar os proponentes remanescentes, na ordem de classificação, para fazê-lo em igual prazo e nas mesmas condições propostas pelo primeiro classificado, inclusive quanto aos preços atualizados de conformidade com o ato convocatório, independentemente da cominação prevista neste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O contrato de compra é a formalização legal do compromisso assumido pela administração e pelos fornecedores para a entrega dos gêneros alimentícios da agricultura familiar para a alimentação escolar;</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A Lei de Licitações e Contratos (nº 8.666/1993) contém as regras que regulamentam os contratos administrativos, que se aplicam também aos contratos de compra oriundos da Chamada Pública;</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O contrato de aquisição dos gêneros alimentícios deve ser assinado pelas partes envolvidas: pela administração e pela cooperativa/associação, grupo informal ou fornecedor individual.</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color w:val="000000"/>
        </w:rPr>
        <w:t>DAS ALTERAÇÕES DO CONTRATO</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rPr>
        <w:t xml:space="preserve">O contrato poderá ser alterado nos termos do artigo 65 da Lei n° 8.666/1993.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color w:val="000000"/>
        </w:rPr>
        <w:t>DA SUBCONTRATAÇÃO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É expressamente vedada a subcontratação.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color w:val="000000"/>
        </w:rPr>
        <w:t>DA VIGENCIA DO CONTRATO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O prazo de vigência do contrato será de seis meses, a partir da data da assinatura ou até a entrega do quantitativo total dos produtos adquiridos, o que ocorrer primeiro.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DAS OBRIGAÇÕES DOS FORNECEDORES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Os fornecedores que aderirem a este processo declaram que atendem a todas as exigências legais e regulatórias a execução do seu objeto, sujeitando-se, em caso de declaração falsa, as penalidades previstas nos artigos 87 e 88 da lei 8666/93.</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O fornecedor deverá manter, durante toda a execução do contrato, em compatibilidade com as obrigações por ele assumidas, todas as condições de habilitação e qualificação exigidas na Chamada Pública, conforme inc. XII do art. 55 da lei 8.666/93;</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color w:val="000000"/>
        </w:rPr>
        <w:t>O fornecedor se compromete a fornecer os gêneros alimentícios conforme o disposto no padrão de identidade e qualidade estabelecida na legislação vigente, nas especificações técnicas elaboradas pela Supervisão de Alimentação Escolar, bem como no projeto de venda;</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color w:val="000000"/>
        </w:rPr>
        <w:t>O fornecedor se compromete a fornecer os gêneros alimentícios nos preços estabelecidos nesta Chamada Pública durante a vigência do contrato;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color w:val="000000"/>
        </w:rPr>
        <w:t>O fornecedor se compromete a fornecer os gêneros alimentícios conforme cronograma de entrega definido pela Administração Escolar, com datas, locais, produto e qualidades, além das demais cláusulas de compra e venda. O início da entrega dos produtos deve observar o cronograma estabelecido no ato contratual;</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color w:val="000000"/>
        </w:rPr>
        <w:t>Será de responsabilidade exclusiva do agricultor o ressarcimento de eventuais prejuízos decorrentes da má qualidade dos produtos ou do atraso no fornecimento.</w:t>
      </w:r>
    </w:p>
    <w:p>
      <w:pPr>
        <w:pStyle w:val="ListParagraph"/>
        <w:numPr>
          <w:ilvl w:val="0"/>
          <w:numId w:val="4"/>
        </w:numPr>
        <w:tabs>
          <w:tab w:val="left" w:pos="567" w:leader="none"/>
        </w:tabs>
        <w:spacing w:lineRule="auto" w:line="360" w:before="0" w:after="0"/>
        <w:jc w:val="both"/>
        <w:rPr/>
      </w:pPr>
      <w:r>
        <w:rPr>
          <w:rFonts w:eastAsia="Times New Roman" w:cs="Times New Roman" w:ascii="Times New Roman" w:hAnsi="Times New Roman"/>
          <w:b/>
          <w:lang w:eastAsia="pt-BR"/>
        </w:rPr>
        <w:t>DAS OBRIGAÇÕES DA CONTRATANTE</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Acompanhar e fiscalizar a execução do contrato, bem como atestar, na Nota Fiscal Fatura, a entrega efetiva do objeto, emitir Termo de Recebimento Definitivo ou, se for o caso, recusar o fornecimento desconforme;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Efetuar os pagamentos ao contratado dentro do prazo estipulado no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Efetuar o cadastramento do(s) proponente(s) homologado(s) no SICAF – Sistema de Cadastramento Unificado de Fornecedores, antes de sua contratação, com base no reexame da documentação apresentada para habilitação, devidamente atualizada, sem ônus para o proponente, se este ainda não estiver inscrito no referido cadastro.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Aplicar ao contratado as penalidades regulamentares e contratuais. </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O Contratante se compromete em guardar pelo prazo estabelecido no inciso 11 do artigo 45 da resolução CD/FNDE n° 26/2013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LOCAL E PERIODICIDADE DE ENTREGA DOS PRODUTOS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Os produtos deverão ser entregues no Instituto Federal Farroupilha - Campus Panambi, localizado na Rua Erechim, 860, Bairro Planalto CEP: 98280-000, Panambi/RS, Fone: (55) 3376- 8839.</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entrega e o descarregamento dos produtos são de responsabilidade do(s) produtor (es) vencedor(es);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primeira entrega somente ocorrerá após assinatura do contrato ou do recebimento da nota de empenho;</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entrega deve ser feita mediante agendamento do produtor junto ao Setor de Assistência Estudantil, após solicitação formal feita pelo referido setor e de acordo com a periodicidade constante no cronograma.</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administração reserva-se o direito de realizar alterações nos cronogramas de entrega ou nas quantidades por entrega, conforme a demanda, desde que o total não ultrapasse a quantidade requerida dos produtos e o fornecedor seja previamente comunicado;</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entrega deverá ser durante o horário de expediente, das 08h00min até às 18h00min de segunda a sexta-feira;</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Os produtos deverão ser entregues em embalagens integras, isentos de substâncias terrosas, sujidades ou corpos estranhos aderidos aos produtos, umidade externa anormal, odor e sabor estranhos, bem como guardanapos para os produtos.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Todos os produtos deverão atender ao disposto na legislação de alimentos, estabelecida pela Agência Nacional de Vigilância Sanitária/ Ministério da Saúde e pelo Ministério da Agricultura, Pecuária e Abastecimento (Resolução RDC nº 259/02 e 216/2004 – ANVISA).</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Os fornecedores deverão repor os produtos dentro do prazo de validade e/ou vida útil, no caso de qualquer alteração dos mesmos;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No ato da entrega, o TERMO DE RECEBIMENTO deve ser assinado pelo representante da Unidade Executora e pelo grupo/ agricultor individual fornecedor, conforme modelo (Anexo VIII) deste edital.</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Termo de Recebimento é o instrumento que atesta que os produtos entregues estão de acordo com o cronograma previsto no contrato e dentro dos padrões de qualidade exigidos.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quantidade de gêneros alimentícios a serem adquiridos é estimada com base nos cardápios de alimentação escolar elaborado pela nutricionista do Instituto Federal Farroupilha – Campus Panambi.</w:t>
      </w:r>
    </w:p>
    <w:p>
      <w:pPr>
        <w:pStyle w:val="ListParagraph"/>
        <w:numPr>
          <w:ilvl w:val="1"/>
          <w:numId w:val="4"/>
        </w:numPr>
        <w:tabs>
          <w:tab w:val="left" w:pos="567" w:leader="none"/>
        </w:tabs>
        <w:spacing w:lineRule="auto" w:line="360" w:before="0" w:afterAutospacing="1"/>
        <w:ind w:left="426" w:hanging="432"/>
        <w:jc w:val="both"/>
        <w:rPr/>
      </w:pPr>
      <w:r>
        <w:rPr>
          <w:rFonts w:cs="Times New Roman" w:ascii="Times New Roman" w:hAnsi="Times New Roman"/>
          <w:color w:val="000000"/>
        </w:rPr>
        <w:t>A entrega dos gêneros alimentícios deverá respeitar o cronograma abaixo</w:t>
      </w:r>
      <w:r>
        <w:rPr>
          <w:rFonts w:cs="Times New Roman" w:ascii="Times New Roman" w:hAnsi="Times New Roman"/>
          <w:color w:val="000000"/>
          <w:sz w:val="22"/>
          <w:szCs w:val="22"/>
        </w:rPr>
        <w:t>:</w:t>
      </w:r>
    </w:p>
    <w:p>
      <w:pPr>
        <w:pStyle w:val="ListParagraph"/>
        <w:tabs>
          <w:tab w:val="left" w:pos="567" w:leader="none"/>
        </w:tabs>
        <w:spacing w:lineRule="auto" w:line="360" w:before="0" w:afterAutospacing="1"/>
        <w:ind w:left="426" w:hanging="432"/>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ListParagraph"/>
        <w:tabs>
          <w:tab w:val="left" w:pos="567" w:leader="none"/>
        </w:tabs>
        <w:spacing w:lineRule="auto" w:line="360" w:before="0" w:afterAutospacing="1"/>
        <w:ind w:left="426" w:hanging="432"/>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ListParagraph"/>
        <w:tabs>
          <w:tab w:val="left" w:pos="567" w:leader="none"/>
        </w:tabs>
        <w:spacing w:lineRule="auto" w:line="360" w:before="0" w:afterAutospacing="1"/>
        <w:ind w:left="426" w:hanging="432"/>
        <w:jc w:val="both"/>
        <w:rPr>
          <w:rFonts w:ascii="Times New Roman" w:hAnsi="Times New Roman" w:cs="Times New Roman"/>
          <w:color w:val="000000"/>
          <w:sz w:val="22"/>
          <w:szCs w:val="22"/>
        </w:rPr>
      </w:pPr>
      <w:r>
        <w:rPr>
          <w:rFonts w:cs="Times New Roman" w:ascii="Times New Roman" w:hAnsi="Times New Roman"/>
          <w:color w:val="000000"/>
          <w:sz w:val="22"/>
          <w:szCs w:val="22"/>
        </w:rPr>
      </w:r>
    </w:p>
    <w:tbl>
      <w:tblPr>
        <w:tblW w:w="9839" w:type="dxa"/>
        <w:jc w:val="left"/>
        <w:tblInd w:w="-32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35" w:type="dxa"/>
          <w:bottom w:w="0" w:type="dxa"/>
          <w:right w:w="70" w:type="dxa"/>
        </w:tblCellMar>
        <w:tblLook w:firstRow="1" w:noVBand="1" w:lastRow="0" w:firstColumn="1" w:lastColumn="0" w:noHBand="0" w:val="04a0"/>
      </w:tblPr>
      <w:tblGrid>
        <w:gridCol w:w="1132"/>
        <w:gridCol w:w="1576"/>
        <w:gridCol w:w="1751"/>
        <w:gridCol w:w="1745"/>
        <w:gridCol w:w="1791"/>
        <w:gridCol w:w="1843"/>
      </w:tblGrid>
      <w:tr>
        <w:trPr>
          <w:trHeight w:val="330" w:hRule="atLeast"/>
        </w:trPr>
        <w:tc>
          <w:tcPr>
            <w:tcW w:w="9838"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5" w:type="dxa"/>
            </w:tcMar>
          </w:tcPr>
          <w:p>
            <w:pPr>
              <w:pStyle w:val="Normal"/>
              <w:spacing w:lineRule="auto" w:line="240" w:before="0" w:after="0"/>
              <w:rPr/>
            </w:pPr>
            <w:r>
              <w:rPr>
                <w:rFonts w:eastAsia="Times New Roman" w:cs="Calibri Light" w:ascii="Calibri Light" w:hAnsi="Calibri Light"/>
                <w:b/>
                <w:color w:val="000000"/>
                <w:sz w:val="18"/>
                <w:lang w:eastAsia="pt-BR"/>
              </w:rPr>
              <w:t>PROGRAMA NACIONAL DE ALIMENTA</w:t>
            </w:r>
            <w:r>
              <w:rPr>
                <w:rFonts w:eastAsia="Times New Roman" w:cs="Calibri Light" w:ascii="Calibri Light" w:hAnsi="Calibri Light"/>
                <w:b/>
                <w:sz w:val="18"/>
                <w:lang w:eastAsia="pt-BR"/>
              </w:rPr>
              <w:t>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 </w:t>
            </w:r>
          </w:p>
        </w:tc>
        <w:tc>
          <w:tcPr>
            <w:tcW w:w="1576"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Segunda-feira</w:t>
            </w:r>
          </w:p>
        </w:tc>
        <w:tc>
          <w:tcPr>
            <w:tcW w:w="1751"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Terça-feira</w:t>
            </w:r>
          </w:p>
        </w:tc>
        <w:tc>
          <w:tcPr>
            <w:tcW w:w="1745"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Quarta-feira</w:t>
            </w:r>
          </w:p>
        </w:tc>
        <w:tc>
          <w:tcPr>
            <w:tcW w:w="1791"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Quinta-feira</w:t>
            </w:r>
          </w:p>
        </w:tc>
        <w:tc>
          <w:tcPr>
            <w:tcW w:w="18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1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(1ª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5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15" w:type="dxa"/>
            </w:tcMar>
            <w:vAlign w:val="center"/>
          </w:tcPr>
          <w:p>
            <w:pPr>
              <w:pStyle w:val="Normal"/>
              <w:spacing w:lineRule="auto" w:line="252" w:before="0" w:after="200"/>
              <w:rPr/>
            </w:pPr>
            <w:r>
              <w:rPr>
                <w:rFonts w:cs="Centaur" w:ascii="Centaur" w:hAnsi="Centaur"/>
                <w:b/>
                <w:sz w:val="20"/>
              </w:rPr>
              <w:t>ALMOÇO</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5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1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(1ª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5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(2ª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5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10/09</w:t>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vAlign w:val="center"/>
          </w:tcPr>
          <w:p>
            <w:pPr>
              <w:pStyle w:val="Normal"/>
              <w:spacing w:lineRule="auto" w:line="252" w:before="0" w:after="200"/>
              <w:rPr/>
            </w:pPr>
            <w:r>
              <w:rPr>
                <w:rFonts w:cs="Centaur" w:ascii="Centaur" w:hAnsi="Centaur"/>
                <w:b/>
                <w:sz w:val="20"/>
              </w:rPr>
              <w:t>ALMOÇO</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5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(2ª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5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40" w:before="0" w:after="0"/>
              <w:jc w:val="right"/>
              <w:rPr/>
            </w:pPr>
            <w:r>
              <w:rPr>
                <w:rFonts w:eastAsia="Arial" w:cs="Centaur" w:ascii="Centaur" w:hAnsi="Centaur"/>
                <w:b/>
                <w:sz w:val="20"/>
                <w:lang w:eastAsia="pt-BR"/>
              </w:rPr>
              <w:t>10/09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10kg</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b/>
          <w:b/>
          <w:bCs/>
        </w:rPr>
      </w:pPr>
      <w:r>
        <w:rPr>
          <w:rFonts w:cs="Times New Roman" w:ascii="Times New Roman" w:hAnsi="Times New Roman"/>
          <w:b/>
          <w:bCs/>
        </w:rPr>
      </w:r>
    </w:p>
    <w:tbl>
      <w:tblPr>
        <w:tblW w:w="9638" w:type="dxa"/>
        <w:jc w:val="left"/>
        <w:tblInd w:w="-1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35" w:type="dxa"/>
          <w:bottom w:w="0" w:type="dxa"/>
          <w:right w:w="70" w:type="dxa"/>
        </w:tblCellMar>
        <w:tblLook w:firstRow="1" w:noVBand="1" w:lastRow="0" w:firstColumn="1" w:lastColumn="0" w:noHBand="0" w:val="04a0"/>
      </w:tblPr>
      <w:tblGrid>
        <w:gridCol w:w="1132"/>
        <w:gridCol w:w="1376"/>
        <w:gridCol w:w="1743"/>
        <w:gridCol w:w="1742"/>
        <w:gridCol w:w="1807"/>
        <w:gridCol w:w="1837"/>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5" w:type="dxa"/>
            </w:tcMar>
          </w:tcPr>
          <w:p>
            <w:pPr>
              <w:pStyle w:val="Normal"/>
              <w:spacing w:lineRule="auto" w:line="240" w:before="0" w:after="0"/>
              <w:rPr/>
            </w:pPr>
            <w:r>
              <w:rPr>
                <w:rFonts w:eastAsia="Times New Roman" w:cs="Calibri Light" w:ascii="Calibri Light" w:hAnsi="Calibri Light"/>
                <w:b/>
                <w:bCs/>
                <w:sz w:val="18"/>
                <w:lang w:eastAsia="pt-BR"/>
              </w:rPr>
              <w:t>PROGRAMA NACIONAL DE ALIMENTA</w:t>
            </w:r>
            <w:r>
              <w:rPr>
                <w:rFonts w:eastAsia="Times New Roman" w:cs="Calibri Light" w:ascii="Calibri Light" w:hAnsi="Calibri Light"/>
                <w:b/>
                <w:sz w:val="18"/>
                <w:lang w:eastAsia="pt-BR"/>
              </w:rPr>
              <w:t>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 </w:t>
            </w:r>
          </w:p>
        </w:tc>
        <w:tc>
          <w:tcPr>
            <w:tcW w:w="1376"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Quarta-feira</w:t>
            </w:r>
          </w:p>
        </w:tc>
        <w:tc>
          <w:tcPr>
            <w:tcW w:w="180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Quinta-feira</w:t>
            </w:r>
          </w:p>
        </w:tc>
        <w:tc>
          <w:tcPr>
            <w:tcW w:w="183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1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(3ª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15" w:type="dxa"/>
            </w:tcMar>
            <w:vAlign w:val="center"/>
          </w:tcPr>
          <w:p>
            <w:pPr>
              <w:pStyle w:val="Normal"/>
              <w:spacing w:lineRule="auto" w:line="252" w:before="0" w:after="200"/>
              <w:rPr/>
            </w:pPr>
            <w:r>
              <w:rPr>
                <w:rFonts w:cs="Centaur" w:ascii="Centaur" w:hAnsi="Centaur"/>
                <w:b/>
                <w:sz w:val="20"/>
              </w:rPr>
              <w:t>ALMOÇO</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1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(3ª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(4ª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24/09</w:t>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vAlign w:val="center"/>
          </w:tcPr>
          <w:p>
            <w:pPr>
              <w:pStyle w:val="Normal"/>
              <w:spacing w:lineRule="auto" w:line="252" w:before="0" w:after="200"/>
              <w:rPr/>
            </w:pPr>
            <w:r>
              <w:rPr>
                <w:rFonts w:cs="Centaur" w:ascii="Centaur" w:hAnsi="Centaur"/>
                <w:b/>
                <w:sz w:val="20"/>
              </w:rPr>
              <w:t>ALMOÇO</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1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(4ª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40" w:before="0" w:after="0"/>
              <w:jc w:val="right"/>
              <w:rPr/>
            </w:pPr>
            <w:r>
              <w:rPr>
                <w:rFonts w:eastAsia="Arial" w:cs="Centaur" w:ascii="Centaur" w:hAnsi="Centaur"/>
                <w:b/>
                <w:sz w:val="20"/>
                <w:lang w:eastAsia="pt-BR"/>
              </w:rPr>
              <w:t>24/09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1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tbl>
      <w:tblPr>
        <w:tblW w:w="964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0" w:type="dxa"/>
          <w:bottom w:w="0" w:type="dxa"/>
          <w:right w:w="70" w:type="dxa"/>
        </w:tblCellMar>
      </w:tblPr>
      <w:tblGrid>
        <w:gridCol w:w="1140"/>
        <w:gridCol w:w="1369"/>
        <w:gridCol w:w="1743"/>
        <w:gridCol w:w="1743"/>
        <w:gridCol w:w="1802"/>
        <w:gridCol w:w="1847"/>
      </w:tblGrid>
      <w:tr>
        <w:trPr>
          <w:trHeight w:val="330" w:hRule="atLeast"/>
        </w:trPr>
        <w:tc>
          <w:tcPr>
            <w:tcW w:w="9644"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0"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4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 </w:t>
            </w:r>
          </w:p>
        </w:tc>
        <w:tc>
          <w:tcPr>
            <w:tcW w:w="136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Terça-feira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Quarta-feira</w:t>
            </w:r>
          </w:p>
        </w:tc>
        <w:tc>
          <w:tcPr>
            <w:tcW w:w="180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Quinta-feira</w:t>
            </w:r>
          </w:p>
        </w:tc>
        <w:tc>
          <w:tcPr>
            <w:tcW w:w="184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40"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10"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(1ª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40"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10" w:type="dxa"/>
            </w:tcMar>
            <w:vAlign w:val="center"/>
          </w:tcPr>
          <w:p>
            <w:pPr>
              <w:pStyle w:val="Normal"/>
              <w:spacing w:lineRule="auto" w:line="252" w:before="0" w:after="200"/>
              <w:rPr/>
            </w:pPr>
            <w:r>
              <w:rPr>
                <w:rFonts w:cs="Centaur" w:ascii="Centaur" w:hAnsi="Centaur"/>
                <w:b/>
                <w:sz w:val="20"/>
              </w:rPr>
              <w:t>ALMOÇO</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40"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tcMar>
              <w:left w:w="10"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(1ª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4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(2ª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08/10</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4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vAlign w:val="center"/>
          </w:tcPr>
          <w:p>
            <w:pPr>
              <w:pStyle w:val="Normal"/>
              <w:spacing w:lineRule="auto" w:line="252" w:before="0" w:after="200"/>
              <w:rPr/>
            </w:pPr>
            <w:r>
              <w:rPr>
                <w:rFonts w:cs="Centaur" w:ascii="Centaur" w:hAnsi="Centaur"/>
                <w:b/>
                <w:sz w:val="20"/>
              </w:rPr>
              <w:t>ALMOÇO</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40"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(2ª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40" w:before="0" w:after="0"/>
              <w:jc w:val="right"/>
              <w:rPr/>
            </w:pPr>
            <w:r>
              <w:rPr>
                <w:rFonts w:eastAsia="Arial" w:cs="Centaur" w:ascii="Centaur" w:hAnsi="Centaur"/>
                <w:b/>
                <w:sz w:val="20"/>
                <w:lang w:eastAsia="pt-BR"/>
              </w:rPr>
              <w:t>08/10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Queijo</w:t>
            </w:r>
          </w:p>
          <w:p>
            <w:pPr>
              <w:pStyle w:val="Normal"/>
              <w:tabs>
                <w:tab w:val="left" w:pos="375" w:leader="none"/>
                <w:tab w:val="center" w:pos="1205" w:leader="none"/>
              </w:tabs>
              <w:spacing w:lineRule="auto" w:line="240" w:before="0" w:after="0"/>
              <w:rPr/>
            </w:pPr>
            <w:r>
              <w:rPr>
                <w:rFonts w:eastAsia="Arial" w:cs="Centaur" w:ascii="Centaur" w:hAnsi="Centaur"/>
                <w:b/>
                <w:sz w:val="20"/>
                <w:lang w:eastAsia="pt-BR"/>
              </w:rPr>
              <w:tab/>
              <w:tab/>
              <w:t>(Agricultura Familiar)</w:t>
            </w:r>
          </w:p>
          <w:p>
            <w:pPr>
              <w:pStyle w:val="Normal"/>
              <w:tabs>
                <w:tab w:val="left" w:pos="375" w:leader="none"/>
                <w:tab w:val="center" w:pos="1205" w:leader="none"/>
              </w:tabs>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tbl>
      <w:tblPr>
        <w:tblW w:w="964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0" w:type="dxa"/>
          <w:bottom w:w="0" w:type="dxa"/>
          <w:right w:w="70" w:type="dxa"/>
        </w:tblCellMar>
      </w:tblPr>
      <w:tblGrid>
        <w:gridCol w:w="1185"/>
        <w:gridCol w:w="1324"/>
        <w:gridCol w:w="1743"/>
        <w:gridCol w:w="1743"/>
        <w:gridCol w:w="1802"/>
        <w:gridCol w:w="1847"/>
      </w:tblGrid>
      <w:tr>
        <w:trPr>
          <w:trHeight w:val="330" w:hRule="atLeast"/>
        </w:trPr>
        <w:tc>
          <w:tcPr>
            <w:tcW w:w="9644"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50"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8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 </w:t>
            </w:r>
          </w:p>
        </w:tc>
        <w:tc>
          <w:tcPr>
            <w:tcW w:w="1324"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Terça-feira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Quarta-feira</w:t>
            </w:r>
          </w:p>
        </w:tc>
        <w:tc>
          <w:tcPr>
            <w:tcW w:w="180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Quinta-feira</w:t>
            </w:r>
          </w:p>
        </w:tc>
        <w:tc>
          <w:tcPr>
            <w:tcW w:w="184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85"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10"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(3ª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85"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10" w:type="dxa"/>
            </w:tcMar>
            <w:vAlign w:val="center"/>
          </w:tcPr>
          <w:p>
            <w:pPr>
              <w:pStyle w:val="Normal"/>
              <w:spacing w:lineRule="auto" w:line="252" w:before="0" w:after="200"/>
              <w:rPr/>
            </w:pPr>
            <w:r>
              <w:rPr>
                <w:rFonts w:cs="Centaur" w:ascii="Centaur" w:hAnsi="Centaur"/>
                <w:b/>
                <w:sz w:val="20"/>
              </w:rPr>
              <w:t>ALMOÇO</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85"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tcMar>
              <w:left w:w="10"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(3ª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8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(4ª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28kg</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8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vAlign w:val="center"/>
          </w:tcPr>
          <w:p>
            <w:pPr>
              <w:pStyle w:val="Normal"/>
              <w:spacing w:lineRule="auto" w:line="252" w:before="0" w:after="200"/>
              <w:rPr/>
            </w:pPr>
            <w:r>
              <w:rPr>
                <w:rFonts w:cs="Centaur" w:ascii="Centaur" w:hAnsi="Centaur"/>
                <w:b/>
                <w:sz w:val="20"/>
              </w:rPr>
              <w:t>ALMOÇO</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85"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10"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(4ª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52" w:before="0" w:after="0"/>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1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ListParagraph"/>
        <w:numPr>
          <w:ilvl w:val="0"/>
          <w:numId w:val="4"/>
        </w:numPr>
        <w:tabs>
          <w:tab w:val="left" w:pos="567" w:leader="none"/>
        </w:tabs>
        <w:spacing w:lineRule="auto" w:line="360" w:beforeAutospacing="1" w:after="0"/>
        <w:jc w:val="both"/>
        <w:rPr/>
      </w:pPr>
      <w:r>
        <w:rPr>
          <w:rFonts w:cs="Times New Roman" w:ascii="Times New Roman" w:hAnsi="Times New Roman"/>
          <w:b/>
          <w:bCs/>
        </w:rPr>
        <w:t>DO RECEBIMENTO PROVISÓRIO E DEFINITIVO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recebimento provisório é o ato pelo qual o material encomendado é entregue ao Campus Panambi no local previamente designado, não implicando, necessariamente, em aceitação. Transfere apenas a responsabilidade pela guarda e conservação do material, do fornecedor à unidade recebedora, independentemente dos dizeres típicos já impressos no documento fiscal, juntos à assinatura de quem tenha recebido o material.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prova do recebimento provisório é constituída pela assinatura de quem de direito no documento fiscal ou documento equivalente e serve apenas como ressalva ao fornecedor para os efeitos do subitem anterior e de comprovação da data da entrega.</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 </w:t>
      </w:r>
      <w:r>
        <w:rPr>
          <w:rFonts w:cs="Times New Roman" w:ascii="Times New Roman" w:hAnsi="Times New Roman"/>
        </w:rPr>
        <w:t xml:space="preserve">O recebimento definitivo é o ato pelo qual o servidor competente declara, no documento fiscal ou em outro documento hábil, haver recebido o bem que foi adquirido, tornando-se, neste caso, responsável pela quantidade e perfeita identificação desse bem, de acordo com as especificações estabelecidas na Nota de Empenho, contrato de aquisição ou outros instrumentos, consoante o artigo 62 da Lei 8.666/1993 atualizada.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objeto deverá ser entregue pelo contratado, rigorosamente conforme especificações do edital, dentro do prazo estabelecido.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pessoa/comissão designada para o recebimento provisório fará constar no canhoto e no verso do documento fiscal a data da entrega e, se for o caso, as irregularidades observadas, podendo essas últimas serem feitas em outro documento hábil.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recebimento definitivo será efetuado após a verificação dos alimentos a serem entregues evidenciando assim, a sua qualidade e compatibilidade com o Termo de Referência, Anexo I neste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Caso seja constatada a conformidade do objeto, será emitido Termo de Recebimento, conforme Anexo VIII deste edital, e a nota encaminhada ao setor competente para fins de pagamento.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Caso seja constatada a deficiência no fornecimento do objeto, será lavrado termo, no qual se consignarão as desconformidades verificadas.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verificação para recebimento definitivo ocorrerá no ato da entrega dos alimentos.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Havendo desconformidade dos alimentos fornecidos com o Termo de Referência, estes não serão recebidos. </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O objeto somente será considerado entregue definitivamente após a verificação de todos os parâmetros necessários para o seu aceite, tais como: qualidade, quantidade, compatibilidade, autenticidade, e outros que se fizerem necessários.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DA FISCALIZAÇÃO</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b/>
          <w:b/>
          <w:lang w:eastAsia="pt-BR"/>
        </w:rPr>
      </w:pPr>
      <w:r>
        <w:rPr>
          <w:rFonts w:cs="Times New Roman" w:ascii="Times New Roman" w:hAnsi="Times New Roman"/>
        </w:rPr>
        <w:t xml:space="preserve">A execução dos fornecimentos será objeto de acompanhamento, controle, fiscalização e avaliação por representante do contratante, para este fim especialmente designado, com as atribuições específicas determinadas na Lei n° 8.666/1993, conforme detalhado no Termo de Referência. </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b/>
          <w:b/>
          <w:lang w:eastAsia="pt-BR"/>
        </w:rPr>
      </w:pPr>
      <w:r>
        <w:rPr>
          <w:rFonts w:cs="Times New Roman" w:ascii="Times New Roman" w:hAnsi="Times New Roman"/>
        </w:rPr>
        <w:t xml:space="preserve">O acompanhamento, o controle, a fiscalização e avaliação de que trata este item não excluem a responsabilidade do contratado e nem confere ao contratante responsabilidade solidária, inclusive perante terceiros, por quaisquer irregularidades ou danos na execução dos serviços contratados. </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rPr>
        <w:t xml:space="preserve">O contratante se reserva o direito de rejeitar, no todo ou em parte, os produtos entregues em desacordo com o presente edital e seus anexos.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PAGAMENTO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O fornecedor será remunerado exclusivamente de acordo com os itens, quantidades e preços previstos neste edital.</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pagamento será efetuado por meio de Ordem Bancária de Crédito, mediante depósito em conta corrente no nome do contratado, na agência e estabelecimento bancário indicados por ele, ou por outro meio previsto na legislação vigente.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O pagamento será realizado até 30 (trinta) dias após a última entrega do mês, dos gêneros alimentícios e será creditado em nome da contratada através de nota de empenho, em conta corrente por ela indicada, mediante apresentação de documento fiscal correspondente ao fornecimento efetuado, uma vez satisfeitas as condições estabelecidas, vedada à antecipação de pagamento, para cada faturamento.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Ficará reservado ao Campus Panambi o direito de suspender o pagamento, até a regularização da situação, se, no ato da entrega ou na fase de recebimento definitivo forem identificadas imperfeições e/ou divergências em relação às especificações técnicas.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Serão retidas na fonte e recolhidas previamente aos cofres públicos as taxas, impostos e contribuições previstas na legislação pertinente, cujos valores e percentuais respectivos deverão estar discriminados em local próprio do documento fiscal de cobrança.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Quando do pagamento, se for o caso, será efetuada a retenção tributária prevista na legislação aplicável.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cada pagamento ao fornecedor a Administração realizará consulta online para verificar a manutenção das condições de habilitação.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Constatando-se, junto ao SICAF, a situação de irregularidade do fornecedor contratado, deve-se providenciar a sua advertência, por escrito, no sentido de que, no prazo de 5 (cinco) dias úteis, o fornecedor regularize sua situação ou, no mesmo prazo, apresente sua defesa;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prazo do subitem anterior poderá ser prorrogado única vez, por igual período, a critério da Administração;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Não havendo regularização ou sendo a defesa considerada improcedente, a Administração deverá comunicar aos órgãos responsáveis pela fiscalização da regularidade fiscal quanto à inadimplência do fornecedor, bem como quanto à existência de pagamento a ser efetuado pela Administração, para que sejam acionados os meios pertinentes e necessários para garantir o recebimento de seus créditos;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Persistindo a irregularidade, a Administração deverá adotar as medidas necessárias à rescisão dos contratos em execução, nos autos dos processos administrativos correspondentes, assegurada à contratada a ampla defesa;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Havendo a efetiva prestação de serviços ou o fornecimento dos bens, os pagamentos serão realizados normalmente, até que se decida pela rescisão contratual, caso o fornecedor não regularize sua situação junto ao SICAF;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Somente por motivo de economicidade, segurança nacional ou outro interesse público de alta relevância, devidamente justificado, em qualquer caso, pela máxima autoridade do órgão ou entidade contratante, não será rescindido o contrato em execução com empresa ou profissional inadimplente no SICAF.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contratado providencie as medidas saneadoras. Nesta hipótese, o prazo para pagamento iniciar-se-á após a comprovação da regularização da situação, não acarretando qualquer ônus para o contratante.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Será considerado como data do pagamento o dia em que constar como emitida a ordem bancária para pagamento.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contratante não se responsabilizará por qualquer despesa que venha a ser efetuada pelo contratado, que porventura não tenha sido acordada no contrato.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Administração deduzirá do montante a ser pago os valores correspondentes às multas e/ou indenizações devidas pelo contratado.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desconto de qualquer valor no pagamento devido ao contratado, por motivo de descumprimento de obrigações, será precedido de processo administrativo em que será garantido ao contratado o contraditório e a ampla defesa, com os recursos e meios que lhes são inerentes. </w:t>
      </w:r>
    </w:p>
    <w:p>
      <w:pPr>
        <w:pStyle w:val="ListParagraph"/>
        <w:numPr>
          <w:ilvl w:val="1"/>
          <w:numId w:val="4"/>
        </w:numPr>
        <w:tabs>
          <w:tab w:val="left" w:pos="567" w:leader="none"/>
        </w:tabs>
        <w:spacing w:lineRule="auto" w:line="360" w:before="0" w:after="0"/>
        <w:ind w:left="142" w:hanging="83"/>
        <w:jc w:val="both"/>
        <w:rPr/>
      </w:pPr>
      <w:r>
        <w:rPr>
          <w:rFonts w:eastAsia="Times New Roman" w:cs="Times New Roman" w:ascii="Times New Roman" w:hAnsi="Times New Roman"/>
          <w:lang w:eastAsia="pt-BR"/>
        </w:rPr>
        <w:t xml:space="preserve">Em casos de eventuais atrasos de pagamento, provocados exclusivamente pela Administração, a mesma deverá pagar multa de 2%, mais juros de 0,1% ao dia, sobre o valor da parcela vencida, </w:t>
      </w:r>
      <w:r>
        <w:rPr>
          <w:rFonts w:eastAsia="Times New Roman" w:cs="Times New Roman" w:ascii="Times New Roman" w:hAnsi="Times New Roman"/>
          <w:b/>
          <w:lang w:eastAsia="pt-BR"/>
        </w:rPr>
        <w:t>ressalvados nos casos quando não efetivados os repasses mensais de recursos do FNDE em tempo hábil.</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b/>
          <w:bCs/>
        </w:rPr>
        <w:t>DA RESCISÃO DO CONTRATO</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O presente Termo de Contrato poderá ser rescindido nas hipóteses previstas no art. 78 da Lei nº 8.666, de 1993, com as consequências indicadas no art. 80 da Lei nº 8.666/93, sem prejuízo da aplicação das sanções previstas no Termo de Referência, anexo do Edital.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Os casos de rescisão contratual serão formalmente motivados, assegurando-se à CONTRATADA o direito à prévia e ampla defesa.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A CONTRATADA reconhece os direitos da CONTRATANTE em caso de rescisão administrativa prevista no art. 77 da Lei nº 8.666, de 1993.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O termo de rescisão, sempre que possível, será precedido: </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Balanço dos eventos contratuais já cumpridos ou parcialmente cumpridos; </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Relação dos pagamentos já efetuados e ainda devidos; </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Indenizações e multas.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O Contrato, desde que observada à formalização preliminar à sua efetivação, por carta, consoante ao parágrafo anterior, poderá ser rescindido, de pleno direito, independentemente de notificação ou interpelação judicial ou extrajudicial, nos seguintes casos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 </w:t>
      </w:r>
      <w:r>
        <w:rPr>
          <w:rFonts w:cs="Times New Roman" w:ascii="Times New Roman" w:hAnsi="Times New Roman"/>
        </w:rPr>
        <w:t>Por acordo entre as partes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 </w:t>
      </w:r>
      <w:r>
        <w:rPr>
          <w:rFonts w:cs="Times New Roman" w:ascii="Times New Roman" w:hAnsi="Times New Roman"/>
        </w:rPr>
        <w:t>Pela inobservância de qualquer de suas condições;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Por quaisquer dos motivos previstos em lei.</w:t>
      </w:r>
    </w:p>
    <w:p>
      <w:pPr>
        <w:pStyle w:val="ListParagraph"/>
        <w:numPr>
          <w:ilvl w:val="1"/>
          <w:numId w:val="4"/>
        </w:numPr>
        <w:tabs>
          <w:tab w:val="left" w:pos="567" w:leader="none"/>
        </w:tabs>
        <w:spacing w:lineRule="auto" w:line="360" w:before="0" w:after="0"/>
        <w:ind w:left="0" w:hanging="83"/>
        <w:jc w:val="both"/>
        <w:rPr/>
      </w:pPr>
      <w:r>
        <w:rPr>
          <w:rFonts w:cs="Times New Roman" w:ascii="Times New Roman" w:hAnsi="Times New Roman"/>
        </w:rPr>
        <w:t>Sempre que o CONTRATANTE alterar ou rescindir o contrato sem estar caracterizada culpa do CONTRATADO, deverá respeitar o equilíbrio econômico-financeiro, garantindo-lhe o aumento da remuneração respectiva ou a indenização por despesas já realizadas.</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b/>
          <w:color w:val="000000"/>
        </w:rPr>
        <w:t>DAS SANÇÕES ADMINISTRATIVAS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Comete infração administrativa nos termos da Lei nº 8.666, de 1993 a Contratada que inexecutar total ou parcialmente qualquer das obrigações assumidas em decorrência da contratação; ensejar o retardamento da execução do objeto; fraudar na execução do contrato; comportar-se de modo inidôneo; cometer fraude fiscal; ou não mantiver a proposta;</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A Contratada que cometer qualquer das infrações acima discriminadas ficará sujeita, sem prejuízo da responsabilidade civil e criminal, às seguintes sanções: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advertência por faltas leves, assim entendidas aquelas que não acarretem prejuízos significativos para a Contratante;</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multa moratória de até 0,33% (zero virgula trinta e três  por cento) por dia de atraso injustificado sobre o valor da parcela inadimplida, até o limite de 30 (trinta) dias;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multa compensatória de até 10% (dez por </w:t>
      </w:r>
      <w:r>
        <w:rPr>
          <w:rFonts w:cs="Times New Roman" w:ascii="Times New Roman" w:hAnsi="Times New Roman"/>
          <w:color w:val="000000" w:themeColor="text1"/>
        </w:rPr>
        <w:t>cento) sobre</w:t>
      </w:r>
      <w:r>
        <w:rPr>
          <w:rFonts w:cs="Times New Roman" w:ascii="Times New Roman" w:hAnsi="Times New Roman"/>
        </w:rPr>
        <w:t xml:space="preserve"> o valor total do contrato, no caso de inexecução total do objeto;</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em caso de inexecução parcial, a multa compensatória, no mesmo percentual do subitem acima, será aplicada de forma proporcional à obrigação inadimplida;</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suspensão de licitar e impedimento de contratar com o órgão, entidade ou unidade administrativa pela qual a Administração Pública opera e atua concretamente, pelo prazo de até dois anos;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A aplicação de multa não impede que a Administração rescinda unilateralmente o Contrato e aplique as outras sanções cabíveis.</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A recusa injustificada da Adjudicatária em assinar o Contrato, após devidamente convocada, dentro do prazo estabelecido pela Administração, equivale à inexecução total do contrato, sujeitando-a às penalidades acima estabelecidas.</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A aplicação de qualquer penalidade não exclui a aplicação da multa.</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Também fica sujeita às penalidades do art. 87, III e IV da Lei nº 8.666, de 1993, a Contratada que:</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tenha sofrido condenação definitiva por praticar, por meio dolosos, fraude fiscal no recolhimento de quaisquer tributos;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tenha praticado atos ilícitos visando a frustrar os objetivos da licitação;</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demonstre não possuir idoneidade para contratar com a Administração em virtude de atos ilícitos praticados.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ascii="Times New Roman" w:hAnsi="Times New Roman"/>
        </w:rPr>
        <w:t>A aplicação de qualquer das penalidades previstas realizar-se-á em processo administrativo que assegurará o contraditório e a ampla defesa observando-se o procedimento previsto na Lei nº 8.666, de 1993, e subsidiariamente na Lei nº 9.784, de 1999.</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ascii="Times New Roman" w:hAnsi="Times New Roman"/>
        </w:rPr>
        <w:t>A autoridade competente, na aplicação das sanções, levará em consideração a gravidade da conduta do infrator, o caráter educativo da pena, bem como o dano causado à Administração, observado o princípio da proporcionalidade.</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ascii="Times New Roman" w:hAnsi="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Caso a Contratante determine, a multa deverá ser recolhida no prazo máximo de 15 (quinze) dias, a contar da data do recebimento da comunicação enviada pela autoridade competente.</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ascii="Times New Roman" w:hAnsi="Times New Roman"/>
        </w:rPr>
        <w:t>As penalidades serão obrigatoriamente registradas no SICAF.</w:t>
      </w:r>
    </w:p>
    <w:p>
      <w:pPr>
        <w:pStyle w:val="ListParagraph"/>
        <w:numPr>
          <w:ilvl w:val="1"/>
          <w:numId w:val="4"/>
        </w:numPr>
        <w:tabs>
          <w:tab w:val="left" w:pos="567" w:leader="none"/>
        </w:tabs>
        <w:spacing w:lineRule="auto" w:line="360" w:before="0" w:after="0"/>
        <w:jc w:val="both"/>
        <w:rPr/>
      </w:pPr>
      <w:r>
        <w:rPr>
          <w:rFonts w:ascii="Times New Roman" w:hAnsi="Times New Roman"/>
        </w:rPr>
        <w:t>As sanções aqui previstas são independentes entre si, podendo ser aplicadas isoladas ou, no caso das multas, cumulativamente, sem prejuízo de outras medidas cabíveis</w:t>
      </w:r>
    </w:p>
    <w:p>
      <w:pPr>
        <w:pStyle w:val="ListParagraph"/>
        <w:numPr>
          <w:ilvl w:val="0"/>
          <w:numId w:val="4"/>
        </w:numPr>
        <w:tabs>
          <w:tab w:val="left" w:pos="567" w:leader="none"/>
        </w:tabs>
        <w:spacing w:lineRule="auto" w:line="360" w:before="0" w:after="0"/>
        <w:jc w:val="both"/>
        <w:rPr>
          <w:rFonts w:ascii="Times New Roman" w:hAnsi="Times New Roman"/>
        </w:rPr>
      </w:pPr>
      <w:r>
        <w:rPr>
          <w:rFonts w:eastAsia="Times New Roman" w:cs="Times New Roman" w:ascii="Times New Roman" w:hAnsi="Times New Roman"/>
          <w:b/>
          <w:lang w:eastAsia="pt-BR"/>
        </w:rPr>
        <w:t>DOS RECURSOS</w:t>
      </w:r>
    </w:p>
    <w:p>
      <w:pPr>
        <w:pStyle w:val="ListParagraph"/>
        <w:numPr>
          <w:ilvl w:val="1"/>
          <w:numId w:val="4"/>
        </w:numPr>
        <w:tabs>
          <w:tab w:val="left" w:pos="567" w:leader="none"/>
        </w:tabs>
        <w:spacing w:lineRule="auto" w:line="360" w:before="0" w:after="0"/>
        <w:ind w:left="0" w:hanging="83"/>
        <w:jc w:val="both"/>
        <w:rPr>
          <w:rFonts w:ascii="Times New Roman" w:hAnsi="Times New Roman"/>
        </w:rPr>
      </w:pPr>
      <w:r>
        <w:rPr>
          <w:rFonts w:cs="Times New Roman" w:ascii="Times New Roman" w:hAnsi="Times New Roman"/>
        </w:rPr>
        <w:t xml:space="preserve">Dos atos da Administração, praticados no curso deste procedimento, será admitido recurso hierárquico, no prazo de cinco (5) dias úteis a contar da intimação do ato ou da lavratura da ata de reunião, nos casos de: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 </w:t>
      </w:r>
      <w:r>
        <w:rPr>
          <w:rFonts w:cs="Times New Roman" w:ascii="Times New Roman" w:hAnsi="Times New Roman"/>
        </w:rPr>
        <w:t xml:space="preserve">habilitação ou inabilitação do licitante;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julgamento das propostas;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anulação ou revogação da licitação;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indeferimento do pedido de inscrição em registro cadastral, sua alteração ou cancelamento; </w:t>
      </w:r>
    </w:p>
    <w:p>
      <w:pPr>
        <w:pStyle w:val="ListParagraph"/>
        <w:numPr>
          <w:ilvl w:val="2"/>
          <w:numId w:val="4"/>
        </w:numPr>
        <w:tabs>
          <w:tab w:val="left" w:pos="567" w:leader="none"/>
        </w:tabs>
        <w:spacing w:lineRule="auto" w:line="360" w:before="0" w:afterAutospacing="1"/>
        <w:jc w:val="both"/>
        <w:rPr>
          <w:rFonts w:ascii="Times New Roman" w:hAnsi="Times New Roman"/>
        </w:rPr>
      </w:pPr>
      <w:r>
        <w:rPr>
          <w:rFonts w:cs="Times New Roman" w:ascii="Times New Roman" w:hAnsi="Times New Roman"/>
        </w:rPr>
        <w:t xml:space="preserve">rescisão do contrato, a que se refere o inciso I do art. 79 desta Lei 8.666/1993; </w:t>
      </w:r>
    </w:p>
    <w:p>
      <w:pPr>
        <w:pStyle w:val="ListParagraph"/>
        <w:tabs>
          <w:tab w:val="left" w:pos="567" w:leader="none"/>
        </w:tabs>
        <w:spacing w:lineRule="auto" w:line="360" w:beforeAutospacing="1" w:afterAutospacing="1"/>
        <w:ind w:left="0" w:hanging="0"/>
        <w:jc w:val="both"/>
        <w:rPr/>
      </w:pPr>
      <w:r>
        <w:rPr>
          <w:rFonts w:cs="Times New Roman" w:ascii="Times New Roman" w:hAnsi="Times New Roman"/>
        </w:rPr>
        <w:t>aplicação das penas de advertência, suspensão temporária ou de multa;</w:t>
      </w:r>
    </w:p>
    <w:p>
      <w:pPr>
        <w:pStyle w:val="ListParagraph"/>
        <w:numPr>
          <w:ilvl w:val="1"/>
          <w:numId w:val="4"/>
        </w:numPr>
        <w:tabs>
          <w:tab w:val="left" w:pos="567" w:leader="none"/>
        </w:tabs>
        <w:spacing w:lineRule="auto" w:line="360" w:beforeAutospacing="1" w:after="0"/>
        <w:ind w:left="142" w:hanging="83"/>
        <w:jc w:val="both"/>
        <w:rPr>
          <w:rFonts w:ascii="Times New Roman" w:hAnsi="Times New Roman" w:cs="Times New Roman"/>
        </w:rPr>
      </w:pPr>
      <w:r>
        <w:rPr>
          <w:rFonts w:cs="Times New Roman" w:ascii="Times New Roman" w:hAnsi="Times New Roman"/>
        </w:rPr>
        <w:t>Interposto o recurso, tal ato será comunicado aos demais licitantes, que poderão apresentar contrarrazões no prazo de cinco dias úteis.</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O recurso será dirigido à Direção-Geral do Campus Panambi, por intermédio da Comissão Permanente de Licitação para Chamada Pública, a qual poderá reconsiderar sua decisão, no prazo de cinco (5) dias úteis, ou nesse mesmo prazo, fazê-lo subir, devidamente informado.</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A decisão deverá ser proferida no prazo de cinco (5) dias úteis, contando do recebimento do recurso.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Os recursos interpostos em razão de habilitação ou inabilitação de proponente terão efeito suspensivo, podendo a autoridade competente, motivadamente e presentes razões de interesse público, atribuir eficácia suspensiva aos demais recursos.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Durante o prazo de apresentação do recurso, será garantido o acesso do proponente aos autos do processo ou a qualquer outra informação necessária à instrução do recurso. </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O acolhimento do recurso importará na invalidação apenas dos atos insuscetíveis de aproveitamento. </w:t>
      </w:r>
    </w:p>
    <w:p>
      <w:pPr>
        <w:pStyle w:val="ListParagraph"/>
        <w:numPr>
          <w:ilvl w:val="0"/>
          <w:numId w:val="4"/>
        </w:numPr>
        <w:tabs>
          <w:tab w:val="left" w:pos="567" w:leader="none"/>
        </w:tabs>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DISPOSIÇÕES GERAIS</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 </w:t>
      </w:r>
      <w:r>
        <w:rPr>
          <w:rFonts w:cs="Times New Roman" w:ascii="Times New Roman" w:hAnsi="Times New Roman"/>
          <w:color w:val="000000"/>
        </w:rPr>
        <w:t xml:space="preserve">Quaisquer dúvidas porventura existentes sobre o disposto no presente edital deverão ser objeto de consulta, por escrito, à Comissão Permanente de Licitação para Chamada Pública, em até cinco (5) dias consecutivos anteriores à data de abertura da sessão pública.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As dúvidas serão consolidadas e respondidas, por escrito, após esgotado o prazo de consulta, por meio de circular afixada em mural na sede da Comissão e encaminhada a todos os interessados que tenham informado seu endereço eletrônico, cabendo àqueles que por qualquer motivo não tenham recebido as informações no prazo estipulado o dever, no resguardo de seus interesses , de inteirar-se sobre o teor do documento.</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Os proponentes assumem todos os custos de preparação e apresentação de suas documentações, e a Administração não será, em nenhum caso, responsável por essas despesas, independentemente da condução ou do resultado do procedimento.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A participação neste procedimento implica plena aceitação, por parte do proponente, das condições estabelecidas neste edital e em seus anexos, bem como obrigatoriedade do cumprimento das disposições nele contidas.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Qualquer modificação no edital exige divulgação pelo mesmo instrumento de publicação em que se deu o texto original, reabrindo-se o prazo inicialmente estabelecido, exceto quando, inquestionavelmente, a alteração não afetar a formulação das propostas.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Não havendo expediente ou ocorrendo qualquer fato superveniente que impeça a realização da sessão pública na data marcada, será automaticamente transferida para o primeiro dia útil subsequente, no mesmo horário e local anteriormente estabelecido, desde que não haja comunicação contrária da Comissão.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É facultada à Comissão ou autoridade superior, em qualquer fase deste procedimento, a promoção de diligência destinada a esclarecer ou complementar a instrução do processo, vedada a inclusão posterior de documento ou informação que deveria constar no ato da sessão pública.</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Na contagem dos prazos estabelecidos neste edital e em seus anexos, excluir-se-á o dia do início e incluir-se-á o do vencimento. Só se iniciam e vencem os prazos em dias de expediente na Administração.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 desatendimento de exigências formais não essenciais não importará o afastamento do proponente, desde que seja possível o aproveitamento do ato, observado os princípios da isonomia e do interesse público.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As normas que disciplinam este procedimento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Todas as peças que compõem o processo são complementares entre si. Assim, qualquer menção formulada em um documento e omitida nos outros, será considerada como especificada e válida. Não será admitida a argumentação de desconhecimento de obrigação a ser cumprida devida sua omissão em algum documento.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 edital e seus anexos, assim como os demais autos do processo administrativo, permanecerão com vista franqueada aos interessados e poderão ser lidos e/ou obtidos no Setor de Licitações e Contratos do Campus Panambi, situado na Rua Erechim, 860 – Bairro Planalto - - Panambi – RS, nos dias úteis, no horário das 7h:45min às 11h:45min e das 13h:15min às 17h:15min. </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color w:val="000000"/>
        </w:rPr>
        <w:t xml:space="preserve">O edital também será disponibilizado, na íntegra, por e-mail, mediante solicitação enviada para: </w:t>
      </w:r>
      <w:hyperlink r:id="rId4">
        <w:r>
          <w:rPr>
            <w:rStyle w:val="LinkdaInternet"/>
            <w:rFonts w:cs="Times New Roman" w:ascii="Times New Roman" w:hAnsi="Times New Roman"/>
            <w:color w:val="000000"/>
          </w:rPr>
          <w:t>licitacao.pb@iffarroupilha.edu.br</w:t>
        </w:r>
      </w:hyperlink>
      <w:r>
        <w:rPr>
          <w:rFonts w:cs="Times New Roman" w:ascii="Times New Roman" w:hAnsi="Times New Roman"/>
          <w:color w:val="000000"/>
        </w:rPr>
        <w:t>.</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Em caso de cobrança pelo fornecimento de cópia da íntegra do edital e de seus anexos, o valor se limitará ao custo efetivo da reprodução gráfica de tais documentos, nos termos do artigo 32, § 5°, da Lei n° 8.666/1993.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Os casos omissos serão dirimidos pela Comissão com base nas disposições das normas aplicáveis.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As questões decorrentes da execução deste instrumento, que não possam ser dirimidas administrativamente, serão processadas e julgadas na Justiça Federal, Seção Judiciária de Santa Maria/RS - Justiça Federal. </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b/>
          <w:color w:val="000000"/>
        </w:rPr>
        <w:t xml:space="preserve">A presente Chamada Pública para alimentação escolar será publicada em jornal de circulação local,  na forma de mural e divulgada no sítio eletrônico: </w:t>
      </w:r>
      <w:hyperlink r:id="rId5">
        <w:r>
          <w:rPr>
            <w:rStyle w:val="LinkdaInternet"/>
            <w:rFonts w:eastAsia="Times New Roman" w:cs="Times New Roman" w:ascii="Times New Roman" w:hAnsi="Times New Roman"/>
            <w:b/>
            <w:lang w:eastAsia="pt-BR"/>
          </w:rPr>
          <w:t>http://www.iffarroupilha.edu.br/panambi</w:t>
        </w:r>
      </w:hyperlink>
      <w:r>
        <w:rPr>
          <w:rFonts w:eastAsia="Times New Roman" w:cs="Times New Roman" w:ascii="Times New Roman" w:hAnsi="Times New Roman"/>
          <w:b/>
          <w:lang w:eastAsia="pt-BR"/>
        </w:rPr>
        <w:t xml:space="preserve"> </w:t>
      </w:r>
      <w:r>
        <w:rPr>
          <w:rFonts w:eastAsia="Times New Roman" w:cs="Times New Roman" w:ascii="Times New Roman" w:hAnsi="Times New Roman"/>
          <w:b/>
          <w:color w:val="000000" w:themeColor="text1"/>
          <w:lang w:eastAsia="pt-BR"/>
        </w:rPr>
        <w:t>permanecendo aberto para recebimento dos projetos de venda por um período de 20 dias, conforme art. 26 da Resolução 26/2013 FNDE.</w:t>
      </w:r>
      <w:r>
        <w:rPr>
          <w:rFonts w:eastAsia="Times New Roman" w:cs="Times New Roman" w:ascii="Times New Roman" w:hAnsi="Times New Roman"/>
          <w:b/>
          <w:lang w:eastAsia="pt-BR"/>
        </w:rPr>
        <w:t xml:space="preserve"> </w:t>
      </w:r>
    </w:p>
    <w:p>
      <w:pPr>
        <w:pStyle w:val="ListParagraph"/>
        <w:tabs>
          <w:tab w:val="left" w:pos="567" w:leader="none"/>
        </w:tabs>
        <w:spacing w:lineRule="auto" w:line="360" w:before="0" w:after="0"/>
        <w:ind w:left="0" w:firstLine="59"/>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ListParagraph"/>
        <w:numPr>
          <w:ilvl w:val="1"/>
          <w:numId w:val="4"/>
        </w:numPr>
        <w:tabs>
          <w:tab w:val="left" w:pos="567" w:leader="none"/>
        </w:tabs>
        <w:spacing w:lineRule="auto" w:line="360" w:before="0" w:afterAutospacing="1"/>
        <w:ind w:left="0" w:firstLine="59"/>
        <w:jc w:val="both"/>
        <w:rPr/>
      </w:pPr>
      <w:r>
        <w:rPr>
          <w:rFonts w:cs="Times New Roman" w:ascii="Times New Roman" w:hAnsi="Times New Roman"/>
          <w:color w:val="000000"/>
        </w:rPr>
        <w:t>Constituem Anexos a este Edital, dele fazendo parte integrante:</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 xml:space="preserve">Anexo I: Termo de referência </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II: Minuta do contrato</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III: Modelo de projeto de venda para os fornecedores individuais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IV: Modelo de projeto de venda para os grupos informais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V: Modelo de projeto de venda para os grupos formais.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 xml:space="preserve">Anexo VI: Modelo de declaração de produção própria. </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AnexoVII: Modelo de declaração de responsabilidade pelo controle do limite individual das vendas dos cooperados/associados.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VIII: Termo de recebimento da agricultura familiar</w:t>
      </w:r>
    </w:p>
    <w:p>
      <w:pPr>
        <w:pStyle w:val="Normal"/>
        <w:tabs>
          <w:tab w:val="left" w:pos="567" w:leader="none"/>
        </w:tabs>
        <w:spacing w:lineRule="auto" w:line="360" w:beforeAutospacing="1" w:afterAutospacing="1"/>
        <w:ind w:left="142" w:hanging="0"/>
        <w:jc w:val="both"/>
        <w:rPr/>
      </w:pPr>
      <w:r>
        <w:rPr>
          <w:rFonts w:cs="Times New Roman" w:ascii="Times New Roman" w:hAnsi="Times New Roman"/>
        </w:rPr>
        <w:t>Panambi/RS, aos 10 dias do mês de maio de 2019.</w:t>
      </w:r>
    </w:p>
    <w:p>
      <w:pPr>
        <w:pStyle w:val="Normal"/>
        <w:tabs>
          <w:tab w:val="left" w:pos="567" w:leader="none"/>
        </w:tabs>
        <w:spacing w:lineRule="auto" w:line="360" w:beforeAutospacing="1" w:afterAutospacing="1"/>
        <w:ind w:left="142" w:hanging="0"/>
        <w:jc w:val="both"/>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both"/>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0" w:after="0"/>
        <w:ind w:left="142" w:hanging="0"/>
        <w:jc w:val="center"/>
        <w:rPr/>
      </w:pPr>
      <w:r>
        <w:rPr>
          <w:rFonts w:cs="Times New Roman" w:ascii="Times New Roman" w:hAnsi="Times New Roman"/>
        </w:rPr>
        <w:t>__________________________________________</w:t>
      </w:r>
    </w:p>
    <w:p>
      <w:pPr>
        <w:pStyle w:val="Normal"/>
        <w:tabs>
          <w:tab w:val="left" w:pos="567" w:leader="none"/>
        </w:tabs>
        <w:spacing w:lineRule="auto" w:line="360" w:before="0" w:afterAutospacing="1"/>
        <w:ind w:left="142" w:hanging="0"/>
        <w:jc w:val="center"/>
        <w:rPr>
          <w:rFonts w:ascii="Times New Roman" w:hAnsi="Times New Roman" w:cs="Times New Roman"/>
        </w:rPr>
      </w:pPr>
      <w:r>
        <w:rPr>
          <w:rFonts w:cs="Times New Roman" w:ascii="Times New Roman" w:hAnsi="Times New Roman"/>
        </w:rPr>
        <w:t>Responsável pela elaboração do edital</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both"/>
        <w:rPr/>
      </w:pPr>
      <w:r>
        <w:rPr>
          <w:rFonts w:eastAsia="Times New Roman" w:cs="Times New Roman" w:ascii="Times New Roman" w:hAnsi="Times New Roman"/>
          <w:b/>
          <w:lang w:eastAsia="pt-BR"/>
        </w:rPr>
        <w:t>Conforme previsão legal e as peças juntadas aos autos do processo 23240.000390/2019-17, autorizo a realização da fase externa do certame.</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________________________________________</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Alessandro Callai Bazzan</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Ordenador de Despesas</w:t>
      </w:r>
    </w:p>
    <w:p>
      <w:pPr>
        <w:pStyle w:val="Normal"/>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spacing w:lineRule="auto" w:line="360" w:beforeAutospacing="1" w:afterAutospacing="1"/>
        <w:jc w:val="center"/>
        <w:rPr/>
      </w:pPr>
      <w:r>
        <w:rPr>
          <w:rFonts w:eastAsia="Times New Roman" w:cs="Times New Roman" w:ascii="Times New Roman" w:hAnsi="Times New Roman"/>
          <w:b/>
          <w:lang w:eastAsia="pt-BR"/>
        </w:rPr>
        <w:t>CHAMADA PÚBLICA 01/2019</w:t>
      </w:r>
    </w:p>
    <w:p>
      <w:pPr>
        <w:pStyle w:val="Normal"/>
        <w:spacing w:lineRule="auto" w:line="240" w:before="0" w:after="0"/>
        <w:jc w:val="center"/>
        <w:rPr/>
      </w:pPr>
      <w:r>
        <w:rPr>
          <w:rFonts w:eastAsia="Times New Roman" w:cs="Times New Roman" w:ascii="Times New Roman" w:hAnsi="Times New Roman"/>
          <w:b/>
          <w:lang w:eastAsia="pt-BR"/>
        </w:rPr>
        <w:t>Processo nº 23240.000390/2019-17</w:t>
      </w:r>
    </w:p>
    <w:p>
      <w:pPr>
        <w:pStyle w:val="Standard"/>
        <w:spacing w:lineRule="auto" w:line="360"/>
        <w:jc w:val="center"/>
        <w:rPr>
          <w:rFonts w:ascii="Times New Roman" w:hAnsi="Times New Roman" w:cs="Times New Roman"/>
          <w:b/>
          <w:b/>
          <w:sz w:val="22"/>
          <w:szCs w:val="22"/>
        </w:rPr>
      </w:pPr>
      <w:r>
        <w:rPr>
          <w:rFonts w:cs="Times New Roman" w:ascii="Times New Roman" w:hAnsi="Times New Roman"/>
          <w:b/>
          <w:sz w:val="22"/>
          <w:szCs w:val="22"/>
        </w:rPr>
      </w:r>
    </w:p>
    <w:p>
      <w:pPr>
        <w:pStyle w:val="Standard"/>
        <w:jc w:val="center"/>
        <w:rPr>
          <w:rFonts w:ascii="Times New Roman" w:hAnsi="Times New Roman" w:cs="Times New Roman"/>
          <w:b/>
          <w:b/>
          <w:sz w:val="22"/>
          <w:szCs w:val="22"/>
        </w:rPr>
      </w:pPr>
      <w:r>
        <w:rPr>
          <w:rFonts w:cs="Times New Roman" w:ascii="Times New Roman" w:hAnsi="Times New Roman"/>
          <w:b/>
          <w:sz w:val="22"/>
          <w:szCs w:val="22"/>
        </w:rPr>
        <w:t>ANEXO I</w:t>
      </w:r>
    </w:p>
    <w:p>
      <w:pPr>
        <w:pStyle w:val="Standard"/>
        <w:jc w:val="center"/>
        <w:rPr>
          <w:rFonts w:ascii="Times New Roman" w:hAnsi="Times New Roman" w:cs="Times New Roman"/>
          <w:b/>
          <w:b/>
          <w:sz w:val="22"/>
          <w:szCs w:val="22"/>
        </w:rPr>
      </w:pPr>
      <w:r>
        <w:rPr>
          <w:rFonts w:cs="Times New Roman" w:ascii="Times New Roman" w:hAnsi="Times New Roman"/>
          <w:b/>
          <w:sz w:val="22"/>
          <w:szCs w:val="22"/>
        </w:rPr>
        <w:t>TERMO DE REFERÊNCIA</w:t>
      </w:r>
    </w:p>
    <w:p>
      <w:pPr>
        <w:pStyle w:val="Standard"/>
        <w:rPr>
          <w:rFonts w:ascii="Times New Roman" w:hAnsi="Times New Roman" w:cs="Times New Roman"/>
          <w:sz w:val="22"/>
          <w:szCs w:val="22"/>
        </w:rPr>
      </w:pPr>
      <w:r>
        <w:rPr>
          <w:rFonts w:cs="Times New Roman" w:ascii="Times New Roman" w:hAnsi="Times New Roman"/>
          <w:sz w:val="22"/>
          <w:szCs w:val="22"/>
        </w:rPr>
      </w:r>
    </w:p>
    <w:p>
      <w:pPr>
        <w:pStyle w:val="Standard"/>
        <w:rPr>
          <w:rFonts w:ascii="Times New Roman" w:hAnsi="Times New Roman" w:cs="Times New Roman"/>
          <w:sz w:val="22"/>
          <w:szCs w:val="22"/>
        </w:rPr>
      </w:pPr>
      <w:r>
        <w:rPr>
          <w:rFonts w:cs="Times New Roman" w:ascii="Times New Roman" w:hAnsi="Times New Roman"/>
          <w:sz w:val="22"/>
          <w:szCs w:val="22"/>
        </w:rPr>
      </w:r>
    </w:p>
    <w:p>
      <w:pPr>
        <w:pStyle w:val="Standard"/>
        <w:numPr>
          <w:ilvl w:val="0"/>
          <w:numId w:val="2"/>
        </w:numPr>
        <w:spacing w:lineRule="auto" w:line="360"/>
        <w:ind w:left="0" w:hanging="0"/>
        <w:rPr>
          <w:rFonts w:ascii="Times New Roman" w:hAnsi="Times New Roman" w:cs="Times New Roman"/>
          <w:sz w:val="22"/>
          <w:szCs w:val="22"/>
        </w:rPr>
      </w:pPr>
      <w:r>
        <w:rPr>
          <w:rFonts w:cs="Times New Roman" w:ascii="Times New Roman" w:hAnsi="Times New Roman"/>
          <w:b/>
          <w:sz w:val="22"/>
          <w:szCs w:val="22"/>
        </w:rPr>
        <w:t>OBJETO</w:t>
      </w:r>
    </w:p>
    <w:p>
      <w:pPr>
        <w:pStyle w:val="ListParagraph"/>
        <w:numPr>
          <w:ilvl w:val="1"/>
          <w:numId w:val="2"/>
        </w:numPr>
        <w:tabs>
          <w:tab w:val="left" w:pos="0" w:leader="none"/>
        </w:tabs>
        <w:spacing w:lineRule="auto" w:line="360" w:before="0" w:after="0"/>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O objeto da presente Chamada Pública é a aquisição de gêneros alimentícios da Agricultura Familiar e do Empreendedor Familiar Rural, para o atendimento ao Programa Nacional de Alimentação Escolar – PNAE/FNDE. Destinado aos alunos matriculados no Instituto Federal Farroupilha Campus Panambi.</w:t>
      </w:r>
    </w:p>
    <w:p>
      <w:pPr>
        <w:pStyle w:val="ListParagraph"/>
        <w:numPr>
          <w:ilvl w:val="1"/>
          <w:numId w:val="2"/>
        </w:numPr>
        <w:tabs>
          <w:tab w:val="left" w:pos="567" w:leader="none"/>
        </w:tabs>
        <w:spacing w:lineRule="auto" w:line="360" w:before="0" w:after="0"/>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A licitação será dividida em itens, facultando-se ao agricultor a participação em quantos itens forem de seu interesse.  </w:t>
      </w:r>
    </w:p>
    <w:p>
      <w:pPr>
        <w:pStyle w:val="ListParagraph"/>
        <w:numPr>
          <w:ilvl w:val="1"/>
          <w:numId w:val="2"/>
        </w:numPr>
        <w:tabs>
          <w:tab w:val="left" w:pos="567" w:leader="none"/>
        </w:tabs>
        <w:spacing w:lineRule="auto" w:line="360" w:before="0" w:after="0"/>
        <w:ind w:left="0" w:hanging="0"/>
        <w:jc w:val="both"/>
        <w:rPr/>
      </w:pPr>
      <w:r>
        <w:rPr>
          <w:rFonts w:eastAsia="Times New Roman" w:cs="Times New Roman" w:ascii="Times New Roman" w:hAnsi="Times New Roman"/>
          <w:lang w:eastAsia="pt-BR"/>
        </w:rPr>
        <w:t>O valor estimado da contratação é R$ 29.845,40</w:t>
      </w:r>
    </w:p>
    <w:p>
      <w:pPr>
        <w:pStyle w:val="Standard"/>
        <w:numPr>
          <w:ilvl w:val="0"/>
          <w:numId w:val="2"/>
        </w:numPr>
        <w:ind w:left="0" w:hanging="0"/>
        <w:rPr/>
      </w:pPr>
      <w:r>
        <w:rPr>
          <w:rFonts w:cs="Times New Roman" w:ascii="Times New Roman" w:hAnsi="Times New Roman"/>
          <w:b/>
          <w:sz w:val="22"/>
          <w:szCs w:val="22"/>
        </w:rPr>
        <w:t>PREÇO E QUANTIDADES DE PRODUTOS</w:t>
      </w:r>
    </w:p>
    <w:p>
      <w:pPr>
        <w:pStyle w:val="Standard"/>
        <w:ind w:left="360" w:hanging="0"/>
        <w:rPr>
          <w:rFonts w:ascii="Times New Roman" w:hAnsi="Times New Roman" w:cs="Times New Roman"/>
          <w:b/>
          <w:b/>
          <w:sz w:val="22"/>
          <w:szCs w:val="22"/>
        </w:rPr>
      </w:pPr>
      <w:r>
        <w:rPr>
          <w:rFonts w:cs="Times New Roman" w:ascii="Times New Roman" w:hAnsi="Times New Roman"/>
          <w:b/>
          <w:sz w:val="22"/>
          <w:szCs w:val="22"/>
        </w:rPr>
      </w:r>
    </w:p>
    <w:p>
      <w:pPr>
        <w:pStyle w:val="ListParagraph"/>
        <w:numPr>
          <w:ilvl w:val="1"/>
          <w:numId w:val="2"/>
        </w:numPr>
        <w:tabs>
          <w:tab w:val="left" w:pos="0" w:leader="none"/>
        </w:tabs>
        <w:spacing w:lineRule="auto" w:line="360" w:before="0" w:after="0"/>
        <w:ind w:left="0" w:hanging="0"/>
        <w:jc w:val="both"/>
        <w:rPr/>
      </w:pPr>
      <w:r>
        <w:rPr>
          <w:rFonts w:eastAsia="Times New Roman" w:cs="Times New Roman" w:ascii="Times New Roman" w:hAnsi="Times New Roman"/>
          <w:lang w:eastAsia="pt-BR"/>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 </w:t>
      </w:r>
    </w:p>
    <w:p>
      <w:pPr>
        <w:pStyle w:val="ListParagraph"/>
        <w:tabs>
          <w:tab w:val="left" w:pos="0" w:leader="none"/>
        </w:tabs>
        <w:spacing w:lineRule="auto" w:line="360" w:before="0" w:after="0"/>
        <w:ind w:left="792"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1"/>
          <w:numId w:val="2"/>
        </w:numPr>
        <w:tabs>
          <w:tab w:val="left" w:pos="0" w:leader="none"/>
        </w:tabs>
        <w:spacing w:lineRule="auto" w:line="360" w:before="0" w:afterAutospacing="1"/>
        <w:jc w:val="both"/>
        <w:rPr/>
      </w:pPr>
      <w:r>
        <w:rPr>
          <w:rFonts w:eastAsia="Times New Roman" w:cs="Times New Roman" w:ascii="Times New Roman" w:hAnsi="Times New Roman"/>
          <w:lang w:eastAsia="pt-BR"/>
        </w:rPr>
        <w:t>A quantidade de gêneros alimentícios a serem adquiridos é estimada com base nos cardápios de alimentação escolar elaborado pela nutricionista do Instituto Federal Farroupilha – Campus Panambi, conforme especificações dos gêneros alimentícios abaixo:</w:t>
      </w:r>
    </w:p>
    <w:p>
      <w:pPr>
        <w:pStyle w:val="ListParagraph"/>
        <w:rPr/>
      </w:pPr>
      <w:r>
        <w:rPr/>
      </w:r>
    </w:p>
    <w:p>
      <w:pPr>
        <w:pStyle w:val="ListParagraph"/>
        <w:tabs>
          <w:tab w:val="left" w:pos="0" w:leader="none"/>
        </w:tabs>
        <w:spacing w:lineRule="auto" w:line="360" w:before="0" w:afterAutospacing="1"/>
        <w:ind w:left="360" w:hanging="0"/>
        <w:jc w:val="both"/>
        <w:rPr/>
      </w:pPr>
      <w:r>
        <w:rPr/>
      </w:r>
    </w:p>
    <w:p>
      <w:pPr>
        <w:pStyle w:val="ListParagraph"/>
        <w:tabs>
          <w:tab w:val="left" w:pos="0" w:leader="none"/>
        </w:tabs>
        <w:spacing w:lineRule="auto" w:line="360" w:before="0" w:afterAutospacing="1"/>
        <w:ind w:left="360" w:hanging="0"/>
        <w:jc w:val="both"/>
        <w:rPr/>
      </w:pPr>
      <w:r>
        <w:rPr/>
      </w:r>
    </w:p>
    <w:p>
      <w:pPr>
        <w:pStyle w:val="ListParagraph"/>
        <w:tabs>
          <w:tab w:val="left" w:pos="0" w:leader="none"/>
        </w:tabs>
        <w:spacing w:lineRule="auto" w:line="360" w:before="0" w:afterAutospacing="1"/>
        <w:ind w:left="360" w:hanging="0"/>
        <w:jc w:val="both"/>
        <w:rPr/>
      </w:pPr>
      <w:r>
        <w:rPr/>
      </w:r>
    </w:p>
    <w:p>
      <w:pPr>
        <w:pStyle w:val="ListParagraph"/>
        <w:tabs>
          <w:tab w:val="left" w:pos="0" w:leader="none"/>
        </w:tabs>
        <w:spacing w:lineRule="auto" w:line="360" w:before="0" w:afterAutospacing="1"/>
        <w:ind w:left="360" w:hanging="0"/>
        <w:jc w:val="both"/>
        <w:rPr/>
      </w:pPr>
      <w:r>
        <w:rPr/>
      </w:r>
    </w:p>
    <w:tbl>
      <w:tblPr>
        <w:tblW w:w="9277" w:type="dxa"/>
        <w:jc w:val="left"/>
        <w:tblInd w:w="-602" w:type="dxa"/>
        <w:tblBorders>
          <w:top w:val="single" w:sz="4" w:space="0" w:color="00000A"/>
          <w:left w:val="single" w:sz="4" w:space="0" w:color="00000A"/>
          <w:bottom w:val="outset" w:sz="6" w:space="0" w:color="00000A"/>
          <w:right w:val="outset" w:sz="6" w:space="0" w:color="00000A"/>
          <w:insideH w:val="outset" w:sz="6" w:space="0" w:color="00000A"/>
          <w:insideV w:val="outset" w:sz="6" w:space="0" w:color="00000A"/>
        </w:tblBorders>
        <w:tblCellMar>
          <w:top w:w="60" w:type="dxa"/>
          <w:left w:w="30" w:type="dxa"/>
          <w:bottom w:w="60" w:type="dxa"/>
          <w:right w:w="60" w:type="dxa"/>
        </w:tblCellMar>
        <w:tblLook w:firstRow="1" w:noVBand="1" w:lastRow="0" w:firstColumn="1" w:lastColumn="0" w:noHBand="0" w:val="04a0"/>
      </w:tblPr>
      <w:tblGrid>
        <w:gridCol w:w="853"/>
        <w:gridCol w:w="2803"/>
        <w:gridCol w:w="985"/>
        <w:gridCol w:w="1165"/>
        <w:gridCol w:w="1719"/>
        <w:gridCol w:w="1751"/>
      </w:tblGrid>
      <w:tr>
        <w:trPr>
          <w:trHeight w:val="167" w:hRule="atLeast"/>
        </w:trPr>
        <w:tc>
          <w:tcPr>
            <w:tcW w:w="853" w:type="dxa"/>
            <w:vMerge w:val="restart"/>
            <w:tcBorders>
              <w:top w:val="single" w:sz="4"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30"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Item</w:t>
            </w:r>
          </w:p>
        </w:tc>
        <w:tc>
          <w:tcPr>
            <w:tcW w:w="2803"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Produto</w:t>
            </w:r>
          </w:p>
        </w:tc>
        <w:tc>
          <w:tcPr>
            <w:tcW w:w="985"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Unidade</w:t>
            </w:r>
          </w:p>
        </w:tc>
        <w:tc>
          <w:tcPr>
            <w:tcW w:w="1165"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Quantidade</w:t>
            </w:r>
          </w:p>
        </w:tc>
        <w:tc>
          <w:tcPr>
            <w:tcW w:w="3470" w:type="dxa"/>
            <w:gridSpan w:val="2"/>
            <w:tcBorders>
              <w:top w:val="single" w:sz="4"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Preço de Aquisição (R$)</w:t>
            </w:r>
          </w:p>
        </w:tc>
      </w:tr>
      <w:tr>
        <w:trPr>
          <w:trHeight w:val="99" w:hRule="atLeast"/>
        </w:trPr>
        <w:tc>
          <w:tcPr>
            <w:tcW w:w="853" w:type="dxa"/>
            <w:vMerge w:val="continue"/>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30"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2803"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985"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165"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Unitário</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Valor Total</w:t>
            </w:r>
          </w:p>
        </w:tc>
      </w:tr>
      <w:tr>
        <w:trPr>
          <w:trHeight w:val="1699"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01</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pPr>
            <w:r>
              <w:rPr>
                <w:rFonts w:cs="Times New Roman" w:ascii="Arial" w:hAnsi="Arial"/>
                <w:color w:val="000000"/>
                <w:sz w:val="24"/>
                <w:szCs w:val="24"/>
              </w:rPr>
              <w:t>Bolacha de Mel - (Ingredientes: a</w:t>
            </w:r>
            <w:r>
              <w:rPr>
                <w:rFonts w:ascii="Arial" w:hAnsi="Arial"/>
                <w:color w:val="000000"/>
                <w:sz w:val="24"/>
                <w:szCs w:val="24"/>
              </w:rPr>
              <w:t>çúcar refinado, manteiga, ovos, baunilha, mel, nos moscada, canela, bicabornato de sódio, farinha de trigo).</w:t>
            </w:r>
          </w:p>
          <w:p>
            <w:pPr>
              <w:pStyle w:val="Normal"/>
              <w:spacing w:before="0" w:after="200"/>
              <w:jc w:val="center"/>
              <w:rPr>
                <w:rFonts w:cs="Times New Roman"/>
              </w:rPr>
            </w:pPr>
            <w:r>
              <w:rPr>
                <w:rFonts w:cs="Times New Roman"/>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Kg</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pPr>
            <w:r>
              <w:rPr>
                <w:rFonts w:eastAsia="Times New Roman" w:cs="Times New Roman" w:ascii="Arial" w:hAnsi="Arial"/>
                <w:sz w:val="24"/>
                <w:szCs w:val="24"/>
                <w:lang w:eastAsia="pt-BR"/>
              </w:rPr>
              <w:t>25</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R$ 26,25</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R$ 656,25</w:t>
            </w:r>
          </w:p>
        </w:tc>
      </w:tr>
      <w:tr>
        <w:trPr>
          <w:trHeight w:val="190"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02</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cs="Times New Roman" w:ascii="Arial" w:hAnsi="Arial"/>
                <w:color w:val="000000"/>
                <w:sz w:val="24"/>
                <w:szCs w:val="24"/>
              </w:rPr>
              <w:t xml:space="preserve">Bolo de Cenoura </w:t>
            </w:r>
            <w:r>
              <w:rPr>
                <w:rFonts w:ascii="Arial" w:hAnsi="Arial"/>
                <w:color w:val="000000"/>
                <w:sz w:val="24"/>
                <w:szCs w:val="24"/>
              </w:rPr>
              <w:t>– (Massa: Cenoura, ovos, óleo de soja, açúcar, farinha de trigo, fermento em pó e sal). 1 fatia média. Peso médio 80g.</w:t>
            </w:r>
          </w:p>
          <w:p>
            <w:pPr>
              <w:pStyle w:val="Normal"/>
              <w:spacing w:lineRule="auto" w:line="360" w:before="0" w:after="200"/>
              <w:jc w:val="center"/>
              <w:rPr>
                <w:rFonts w:cs="Times New Roman"/>
              </w:rPr>
            </w:pPr>
            <w:r>
              <w:rPr>
                <w:rFonts w:cs="Times New Roman"/>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pPr>
            <w:r>
              <w:rPr>
                <w:rFonts w:eastAsia="Times New Roman" w:cs="Times New Roman" w:ascii="Arial" w:hAnsi="Arial"/>
                <w:sz w:val="24"/>
                <w:szCs w:val="24"/>
                <w:lang w:eastAsia="pt-BR"/>
              </w:rPr>
              <w:t>432</w:t>
            </w:r>
          </w:p>
          <w:p>
            <w:pPr>
              <w:pStyle w:val="Normal"/>
              <w:spacing w:before="0" w:after="200"/>
              <w:jc w:val="center"/>
              <w:rPr>
                <w:rFonts w:eastAsia="Times New Roman" w:cs="Times New Roman"/>
                <w:lang w:eastAsia="pt-BR"/>
              </w:rPr>
            </w:pPr>
            <w:r>
              <w:rPr>
                <w:rFonts w:eastAsia="Times New Roman" w:cs="Times New Roman"/>
                <w:lang w:eastAsia="pt-BR"/>
              </w:rPr>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R$ 1,91</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R$ 823,68</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03</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Bolo de Chocolate </w:t>
            </w:r>
            <w:r>
              <w:rPr>
                <w:rFonts w:ascii="Arial" w:hAnsi="Arial"/>
                <w:color w:val="000000"/>
                <w:sz w:val="24"/>
                <w:szCs w:val="24"/>
              </w:rPr>
              <w:t>– (Massa: Açúcar, ovos, leite, margarina, farinha de trigo, chocolate em pó, leite e fermento em pó). 1 fatia média. Peso médio 80g.</w:t>
            </w:r>
          </w:p>
          <w:p>
            <w:pPr>
              <w:pStyle w:val="Normal"/>
              <w:spacing w:lineRule="auto" w:line="360" w:before="0" w:after="200"/>
              <w:jc w:val="center"/>
              <w:rPr>
                <w:rFonts w:ascii="Arial" w:hAnsi="Arial"/>
                <w:sz w:val="24"/>
                <w:szCs w:val="24"/>
              </w:rPr>
            </w:pPr>
            <w:r>
              <w:rPr>
                <w:rFonts w:ascii="Arial" w:hAnsi="Arial"/>
                <w:sz w:val="24"/>
                <w:szCs w:val="24"/>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pPr>
            <w:r>
              <w:rPr>
                <w:rFonts w:eastAsia="Times New Roman" w:cs="Times New Roman" w:ascii="Arial" w:hAnsi="Arial"/>
                <w:sz w:val="24"/>
                <w:szCs w:val="24"/>
                <w:lang w:eastAsia="pt-BR"/>
              </w:rPr>
              <w:t>864</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R$ 2,12</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R$ 1.827,36</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04</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Bolo Formigueiro </w:t>
            </w:r>
            <w:r>
              <w:rPr>
                <w:rFonts w:ascii="Arial" w:hAnsi="Arial"/>
                <w:color w:val="000000"/>
                <w:sz w:val="24"/>
                <w:szCs w:val="24"/>
              </w:rPr>
              <w:t>– (Massa: Farinha de trigo, açúcar, fermento em pó, ovos, óleo de soja, leite e chocolate granulado).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R$ 2,03</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R$ 874,80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05</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Bolo Ingl</w:t>
            </w:r>
            <w:r>
              <w:rPr>
                <w:rFonts w:ascii="Arial" w:hAnsi="Arial"/>
                <w:color w:val="000000"/>
                <w:sz w:val="24"/>
                <w:szCs w:val="24"/>
              </w:rPr>
              <w:t>ês – (Massa: Farinha de trigo, açúcar, fermento em pó, ovos, manteiga,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R$ 2,09</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R$ 904,32</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06</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 </w:t>
            </w:r>
            <w:r>
              <w:rPr>
                <w:rFonts w:ascii="Arial" w:hAnsi="Arial"/>
                <w:color w:val="000000"/>
                <w:sz w:val="24"/>
                <w:szCs w:val="24"/>
              </w:rPr>
              <w:t>Bolo de Laranja – (Massa: Óleo, açúcar, farinha de trigo, ovos, fermento em pó, suco de laranja e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R$ 2,01</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R$ 866,16</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07</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Bolo Salgado de Carne e Legumes -  Bolo Salgado de Salsicha e </w:t>
            </w:r>
            <w:r>
              <w:rPr>
                <w:rFonts w:ascii="Arial" w:hAnsi="Arial"/>
                <w:color w:val="000000"/>
                <w:sz w:val="24"/>
                <w:szCs w:val="24"/>
              </w:rPr>
              <w:t>Legumes - (Massa: Óleo de soja, leite, farinha de trigo, fermento em pó, sal e ovos; Recheio: carne moída, tomate, cenoura, milho verde e ervilha). 1 fatia média 100 gr</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R$ 2,27</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R$ 979,20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08</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Bolo Salgado de Frango e Legumes </w:t>
            </w:r>
            <w:r>
              <w:rPr>
                <w:rFonts w:ascii="Arial" w:hAnsi="Arial"/>
                <w:color w:val="000000"/>
                <w:sz w:val="24"/>
                <w:szCs w:val="24"/>
              </w:rPr>
              <w:t>– (Massa: Óleo de soja, leite, farinha de trigo, fermento em pó, sal e ovos; Recheio: frango desfiado, tomate, cenoura, milho verde e brócolis). 1 fatia média.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R$ 2,30</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R$ 993,60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09</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Cachorro quente </w:t>
            </w:r>
            <w:r>
              <w:rPr>
                <w:rFonts w:ascii="Arial" w:hAnsi="Arial"/>
                <w:color w:val="000000"/>
                <w:sz w:val="24"/>
                <w:szCs w:val="24"/>
              </w:rPr>
              <w:t xml:space="preserve">– Pão tipo bisnaga (60g) e linguiça assada (100g). </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Unidade</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1728</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R$ 4,60</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R$ 7.948,80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10</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Cuca com recheio de frutas (massa: ovos, a</w:t>
            </w:r>
            <w:r>
              <w:rPr>
                <w:rFonts w:ascii="Arial" w:hAnsi="Arial"/>
                <w:color w:val="000000"/>
                <w:sz w:val="24"/>
                <w:szCs w:val="24"/>
              </w:rPr>
              <w:t>çúcar baunilha, nata, fermento biológico leite e farinha de trigo; Recheio de frutas. Farofa para polvilhar: Nata, açúcar, baunilha, raspas de laranja, farinha de trigo). 1(uma) fatia, peso médio 80 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R$ 1,31</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R$ 564,48</w:t>
            </w:r>
          </w:p>
        </w:tc>
      </w:tr>
      <w:tr>
        <w:trPr>
          <w:trHeight w:val="200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11</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Cuca sem Recheio, (Massa: Ovos, a</w:t>
            </w:r>
            <w:r>
              <w:rPr>
                <w:rFonts w:ascii="Arial" w:hAnsi="Arial"/>
                <w:color w:val="000000"/>
                <w:sz w:val="24"/>
                <w:szCs w:val="24"/>
              </w:rPr>
              <w:t>çúcar baunilha, nata, fermento biológico, leite e farinha de trigo; Farofa para polvilhar: Nata, açúcar, baunilha, raspas de laranja, farinha de trigo). 1 fatia, peso médio 80g.</w:t>
            </w:r>
          </w:p>
          <w:p>
            <w:pPr>
              <w:pStyle w:val="Normal"/>
              <w:spacing w:lineRule="auto" w:line="360" w:before="0" w:after="200"/>
              <w:jc w:val="center"/>
              <w:rPr/>
            </w:pPr>
            <w:r>
              <w:rPr>
                <w:rFonts w:eastAsia="Times New Roman" w:cs="Times New Roman" w:ascii="Arial" w:hAnsi="Arial"/>
                <w:sz w:val="24"/>
                <w:szCs w:val="24"/>
                <w:lang w:eastAsia="pt-BR"/>
              </w:rPr>
              <w:t xml:space="preserve"> </w:t>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R$ 1,13</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R$ 486,72</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12</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Pastel de Carne (Massa: Fermento biol</w:t>
            </w:r>
            <w:r>
              <w:rPr>
                <w:rFonts w:ascii="Arial" w:hAnsi="Arial"/>
                <w:color w:val="000000"/>
                <w:sz w:val="24"/>
                <w:szCs w:val="24"/>
              </w:rPr>
              <w:t>ógico, açúcar, sal, azeite, batata inglesa cozida e amassada, e farinha de trigo. Recheio preparado com carne moída de primeira qualidade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1296</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R$ 2,98</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R$ 3.855,60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13</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Pastel de Frango (Massa: Fermento biol</w:t>
            </w:r>
            <w:r>
              <w:rPr>
                <w:rFonts w:ascii="Arial" w:hAnsi="Arial"/>
                <w:color w:val="000000"/>
                <w:sz w:val="24"/>
                <w:szCs w:val="24"/>
              </w:rPr>
              <w:t>ógico, açúcar, sal, azeite, batata inglesa cozida e amassada, e farinha de trigo. Recheio preparado com peito de frango desfiado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1296</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R$ 2,98</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R$ 3.855,60</w:t>
            </w:r>
          </w:p>
        </w:tc>
      </w:tr>
      <w:tr>
        <w:trPr>
          <w:trHeight w:val="2795"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14</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cs="Times New Roman" w:ascii="Arial" w:hAnsi="Arial"/>
                <w:color w:val="000000"/>
                <w:sz w:val="24"/>
                <w:szCs w:val="24"/>
              </w:rPr>
              <w:t>Pastel de Queijo (Massa: Fermento biol</w:t>
            </w:r>
            <w:r>
              <w:rPr>
                <w:rFonts w:ascii="Arial" w:hAnsi="Arial"/>
                <w:color w:val="000000"/>
                <w:sz w:val="24"/>
                <w:szCs w:val="24"/>
              </w:rPr>
              <w:t>ógico, açúcar, sal, azeite, batata inglesa cozida e amassada, e farinha de trigo. Recheio: queijo (60g)) – 1 unidade. Peso médio 100g.</w:t>
            </w:r>
          </w:p>
          <w:p>
            <w:pPr>
              <w:pStyle w:val="Normal"/>
              <w:spacing w:lineRule="auto" w:line="360" w:before="0" w:after="200"/>
              <w:jc w:val="center"/>
              <w:rPr>
                <w:rFonts w:cs="Times New Roman"/>
              </w:rPr>
            </w:pPr>
            <w:r>
              <w:rPr>
                <w:rFonts w:cs="Times New Roman"/>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1296</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R$ 3,06</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R$ 3.969,00</w:t>
            </w:r>
          </w:p>
        </w:tc>
      </w:tr>
      <w:tr>
        <w:trPr>
          <w:trHeight w:val="1446"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15</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cs="Times New Roman"/>
              </w:rPr>
            </w:pPr>
            <w:r>
              <w:rPr>
                <w:rFonts w:cs="Times New Roman"/>
              </w:rPr>
            </w:r>
          </w:p>
          <w:p>
            <w:pPr>
              <w:pStyle w:val="Normal"/>
              <w:spacing w:lineRule="auto" w:line="360"/>
              <w:jc w:val="center"/>
              <w:rPr/>
            </w:pPr>
            <w:r>
              <w:rPr>
                <w:rFonts w:cs="Times New Roman" w:ascii="Arial" w:hAnsi="Arial"/>
                <w:color w:val="000000"/>
                <w:sz w:val="24"/>
                <w:szCs w:val="24"/>
              </w:rPr>
              <w:t> </w:t>
            </w:r>
            <w:r>
              <w:rPr>
                <w:rFonts w:cs="Times New Roman" w:ascii="Arial" w:hAnsi="Arial"/>
                <w:color w:val="000000"/>
                <w:sz w:val="24"/>
                <w:szCs w:val="24"/>
              </w:rPr>
              <w:t>Tortas Confeitadas, com 3 recheios diferentes.</w:t>
            </w:r>
          </w:p>
          <w:p>
            <w:pPr>
              <w:pStyle w:val="Normal"/>
              <w:spacing w:lineRule="auto" w:line="360" w:before="0" w:after="200"/>
              <w:jc w:val="center"/>
              <w:rPr>
                <w:rFonts w:ascii="Arial" w:hAnsi="Arial" w:cs="Times New Roman"/>
                <w:sz w:val="24"/>
                <w:szCs w:val="24"/>
              </w:rPr>
            </w:pPr>
            <w:r>
              <w:rPr>
                <w:rFonts w:cs="Times New Roman" w:ascii="Arial" w:hAnsi="Arial"/>
                <w:sz w:val="24"/>
                <w:szCs w:val="24"/>
              </w:rPr>
            </w:r>
          </w:p>
        </w:tc>
        <w:tc>
          <w:tcPr>
            <w:tcW w:w="9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Kg</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pPr>
            <w:r>
              <w:rPr>
                <w:rFonts w:eastAsia="Times New Roman" w:cs="Times New Roman" w:ascii="Arial" w:hAnsi="Arial"/>
                <w:sz w:val="24"/>
                <w:szCs w:val="24"/>
                <w:lang w:eastAsia="pt-BR"/>
              </w:rPr>
              <w:t>43</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R$ 28,83</w:t>
            </w:r>
          </w:p>
        </w:tc>
        <w:tc>
          <w:tcPr>
            <w:tcW w:w="1751"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R$ 1.239,83</w:t>
            </w:r>
          </w:p>
        </w:tc>
      </w:tr>
      <w:tr>
        <w:trPr>
          <w:trHeight w:val="198" w:hRule="atLeast"/>
        </w:trPr>
        <w:tc>
          <w:tcPr>
            <w:tcW w:w="853" w:type="dxa"/>
            <w:tcBorders>
              <w:top w:val="outset" w:sz="6" w:space="0" w:color="00000A"/>
              <w:left w:val="single" w:sz="4" w:space="0" w:color="00000A"/>
              <w:bottom w:val="single" w:sz="4" w:space="0" w:color="00000A"/>
              <w:right w:val="outset" w:sz="6" w:space="0" w:color="00000A"/>
              <w:insideH w:val="single" w:sz="4" w:space="0" w:color="00000A"/>
              <w:insideV w:val="outset" w:sz="6" w:space="0" w:color="00000A"/>
            </w:tcBorders>
            <w:shd w:color="auto" w:fill="auto" w:val="clear"/>
            <w:tcMar>
              <w:left w:w="3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p>
        </w:tc>
        <w:tc>
          <w:tcPr>
            <w:tcW w:w="2803"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p>
        </w:tc>
        <w:tc>
          <w:tcPr>
            <w:tcW w:w="985"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tc>
        <w:tc>
          <w:tcPr>
            <w:tcW w:w="1165"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eastAsia="Times New Roman" w:cs="Times New Roman"/>
                <w:lang w:eastAsia="pt-BR"/>
              </w:rPr>
            </w:pPr>
            <w:r>
              <w:rPr>
                <w:rFonts w:eastAsia="Times New Roman" w:cs="Times New Roman"/>
                <w:lang w:eastAsia="pt-BR"/>
              </w:rPr>
              <mc:AlternateContent>
                <mc:Choice Requires="wps">
                  <w:drawing>
                    <wp:anchor behindDoc="0" distT="0" distB="0" distL="0" distR="0" simplePos="0" locked="0" layoutInCell="1" allowOverlap="1" relativeHeight="4">
                      <wp:simplePos x="0" y="0"/>
                      <wp:positionH relativeFrom="column">
                        <wp:posOffset>2086610</wp:posOffset>
                      </wp:positionH>
                      <wp:positionV relativeFrom="paragraph">
                        <wp:posOffset>6719570</wp:posOffset>
                      </wp:positionV>
                      <wp:extent cx="7164705" cy="6812915"/>
                      <wp:effectExtent l="0" t="0" r="0" b="0"/>
                      <wp:wrapNone/>
                      <wp:docPr id="3" name="Forma1"/>
                      <a:graphic xmlns:a="http://schemas.openxmlformats.org/drawingml/2006/main">
                        <a:graphicData uri="http://schemas.microsoft.com/office/word/2010/wordprocessingShape">
                          <wps:wsp>
                            <wps:cNvSpPr/>
                            <wps:spPr>
                              <a:xfrm>
                                <a:off x="0" y="0"/>
                                <a:ext cx="7164720" cy="681228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57.15pt,408.6pt" to="621.25pt,944.95pt" ID="Forma1" stroked="t" style="position:absolute">
                      <v:stroke color="#3465a4" joinstyle="round" endcap="flat"/>
                      <v:fill o:detectmouseclick="t" on="false"/>
                    </v:line>
                  </w:pict>
                </mc:Fallback>
              </mc:AlternateContent>
            </w:r>
          </w:p>
        </w:tc>
        <w:tc>
          <w:tcPr>
            <w:tcW w:w="1719"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b/>
                <w:bCs/>
                <w:sz w:val="24"/>
                <w:szCs w:val="24"/>
                <w:lang w:eastAsia="pt-BR"/>
              </w:rPr>
              <w:t>TOTAL</w:t>
            </w:r>
          </w:p>
        </w:tc>
        <w:tc>
          <w:tcPr>
            <w:tcW w:w="1751" w:type="dxa"/>
            <w:tcBorders>
              <w:top w:val="outset" w:sz="6" w:space="0" w:color="00000A"/>
              <w:left w:val="outset" w:sz="6" w:space="0" w:color="00000A"/>
              <w:bottom w:val="single" w:sz="4" w:space="0" w:color="00000A"/>
              <w:right w:val="single" w:sz="4" w:space="0" w:color="00000A"/>
              <w:insideH w:val="single" w:sz="4"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b/>
                <w:bCs/>
                <w:sz w:val="24"/>
                <w:szCs w:val="24"/>
                <w:lang w:eastAsia="pt-BR"/>
              </w:rPr>
              <w:t>R$ 29.845,40</w:t>
            </w:r>
          </w:p>
        </w:tc>
      </w:tr>
    </w:tbl>
    <w:p>
      <w:pPr>
        <w:pStyle w:val="Normal"/>
        <w:tabs>
          <w:tab w:val="left" w:pos="0" w:leader="none"/>
        </w:tabs>
        <w:spacing w:lineRule="auto" w:line="360" w:before="0" w:afterAutospacing="1"/>
        <w:jc w:val="both"/>
        <w:rPr/>
      </w:pPr>
      <w:r>
        <w:br w:type="page"/>
      </w:r>
      <w:r>
        <w:rPr>
          <w:rFonts w:cs="Times New Roman" w:ascii="Times New Roman" w:hAnsi="Times New Roman"/>
          <w:b/>
          <w:sz w:val="24"/>
          <w:szCs w:val="24"/>
        </w:rPr>
        <w:t>2</w:t>
      </w:r>
      <w:r>
        <w:rPr>
          <w:rFonts w:eastAsia="Times New Roman" w:cs="Times New Roman" w:ascii="Times New Roman" w:hAnsi="Times New Roman"/>
          <w:b/>
          <w:lang w:eastAsia="pt-BR"/>
        </w:rPr>
        <w:t xml:space="preserve">CRONOGRAMA DE ENTREGA </w:t>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45" w:type="dxa"/>
          <w:bottom w:w="0" w:type="dxa"/>
          <w:right w:w="70" w:type="dxa"/>
        </w:tblCellMar>
        <w:tblLook w:firstRow="1" w:noVBand="1" w:lastRow="0" w:firstColumn="1" w:lastColumn="0" w:noHBand="0" w:val="04a0"/>
      </w:tblPr>
      <w:tblGrid>
        <w:gridCol w:w="1132"/>
        <w:gridCol w:w="1378"/>
        <w:gridCol w:w="1743"/>
        <w:gridCol w:w="1742"/>
        <w:gridCol w:w="1805"/>
        <w:gridCol w:w="1837"/>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4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 </w:t>
            </w:r>
          </w:p>
        </w:tc>
        <w:tc>
          <w:tcPr>
            <w:tcW w:w="137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Quarta-feira</w:t>
            </w:r>
          </w:p>
        </w:tc>
        <w:tc>
          <w:tcPr>
            <w:tcW w:w="1805"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Quinta-feira</w:t>
            </w:r>
          </w:p>
        </w:tc>
        <w:tc>
          <w:tcPr>
            <w:tcW w:w="183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10/09</w:t>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right"/>
              <w:rPr/>
            </w:pPr>
            <w:r>
              <w:rPr>
                <w:rFonts w:eastAsia="Arial" w:cs="Centaur" w:ascii="Centaur" w:hAnsi="Centaur"/>
                <w:b/>
                <w:sz w:val="20"/>
                <w:lang w:eastAsia="pt-BR"/>
              </w:rPr>
              <w:t>10/09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10kg</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rPr>
      </w:pPr>
      <w:r>
        <w:rPr>
          <w:rFonts w:cs="Times New Roman" w:ascii="Times New Roman" w:hAnsi="Times New Roman"/>
        </w:rPr>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45" w:type="dxa"/>
          <w:bottom w:w="0" w:type="dxa"/>
          <w:right w:w="70" w:type="dxa"/>
        </w:tblCellMar>
        <w:tblLook w:firstRow="1" w:noVBand="1" w:lastRow="0" w:firstColumn="1" w:lastColumn="0" w:noHBand="0" w:val="04a0"/>
      </w:tblPr>
      <w:tblGrid>
        <w:gridCol w:w="1189"/>
        <w:gridCol w:w="1321"/>
        <w:gridCol w:w="1743"/>
        <w:gridCol w:w="1742"/>
        <w:gridCol w:w="1805"/>
        <w:gridCol w:w="1837"/>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4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8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 </w:t>
            </w:r>
          </w:p>
        </w:tc>
        <w:tc>
          <w:tcPr>
            <w:tcW w:w="1321"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Quarta-feira</w:t>
            </w:r>
          </w:p>
        </w:tc>
        <w:tc>
          <w:tcPr>
            <w:tcW w:w="1805"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Quinta-feira</w:t>
            </w:r>
          </w:p>
        </w:tc>
        <w:tc>
          <w:tcPr>
            <w:tcW w:w="183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89"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(3ª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89"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before="0" w:after="200"/>
              <w:rPr/>
            </w:pPr>
            <w:r>
              <w:rPr>
                <w:rFonts w:cs="Centaur" w:ascii="Centaur" w:hAnsi="Centaur"/>
                <w:b/>
                <w:sz w:val="20"/>
              </w:rPr>
              <w:t>ALMOÇO</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89"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(3ª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8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(4ª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24/09</w:t>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8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before="0" w:after="200"/>
              <w:rPr/>
            </w:pPr>
            <w:r>
              <w:rPr>
                <w:rFonts w:cs="Centaur" w:ascii="Centaur" w:hAnsi="Centaur"/>
                <w:b/>
                <w:sz w:val="20"/>
              </w:rPr>
              <w:t>ALMOÇO</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89"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(4ª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right"/>
              <w:rPr/>
            </w:pPr>
            <w:r>
              <w:rPr>
                <w:rFonts w:eastAsia="Arial" w:cs="Centaur" w:ascii="Centaur" w:hAnsi="Centaur"/>
                <w:b/>
                <w:sz w:val="20"/>
                <w:lang w:eastAsia="pt-BR"/>
              </w:rPr>
              <w:t>24/09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rPr>
      </w:pPr>
      <w:r>
        <w:rPr>
          <w:rFonts w:cs="Times New Roman" w:ascii="Times New Roman" w:hAnsi="Times New Roman"/>
        </w:rPr>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45" w:type="dxa"/>
          <w:bottom w:w="0" w:type="dxa"/>
          <w:right w:w="70" w:type="dxa"/>
        </w:tblCellMar>
        <w:tblLook w:firstRow="1" w:noVBand="1" w:lastRow="0" w:firstColumn="1" w:lastColumn="0" w:noHBand="0" w:val="04a0"/>
      </w:tblPr>
      <w:tblGrid>
        <w:gridCol w:w="1132"/>
        <w:gridCol w:w="1378"/>
        <w:gridCol w:w="1743"/>
        <w:gridCol w:w="1742"/>
        <w:gridCol w:w="1805"/>
        <w:gridCol w:w="1837"/>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4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 </w:t>
            </w:r>
          </w:p>
        </w:tc>
        <w:tc>
          <w:tcPr>
            <w:tcW w:w="137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Quarta-feira</w:t>
            </w:r>
          </w:p>
        </w:tc>
        <w:tc>
          <w:tcPr>
            <w:tcW w:w="1805"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Quinta-feira</w:t>
            </w:r>
          </w:p>
        </w:tc>
        <w:tc>
          <w:tcPr>
            <w:tcW w:w="183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08/10</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right"/>
              <w:rPr/>
            </w:pPr>
            <w:r>
              <w:rPr>
                <w:rFonts w:eastAsia="Arial" w:cs="Centaur" w:ascii="Centaur" w:hAnsi="Centaur"/>
                <w:b/>
                <w:sz w:val="20"/>
                <w:lang w:eastAsia="pt-BR"/>
              </w:rPr>
              <w:t>08/10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Queijo</w:t>
            </w:r>
          </w:p>
          <w:p>
            <w:pPr>
              <w:pStyle w:val="Normal"/>
              <w:tabs>
                <w:tab w:val="left" w:pos="375" w:leader="none"/>
                <w:tab w:val="center" w:pos="1205" w:leader="none"/>
              </w:tabs>
              <w:spacing w:lineRule="auto" w:line="240" w:before="0" w:after="0"/>
              <w:rPr/>
            </w:pPr>
            <w:r>
              <w:rPr>
                <w:rFonts w:eastAsia="Arial" w:cs="Centaur" w:ascii="Centaur" w:hAnsi="Centaur"/>
                <w:b/>
                <w:sz w:val="20"/>
                <w:lang w:eastAsia="pt-BR"/>
              </w:rPr>
              <w:tab/>
              <w:tab/>
              <w:t>(Agricultura Familiar)</w:t>
            </w:r>
          </w:p>
          <w:p>
            <w:pPr>
              <w:pStyle w:val="Normal"/>
              <w:tabs>
                <w:tab w:val="left" w:pos="375" w:leader="none"/>
                <w:tab w:val="center" w:pos="1205" w:leader="none"/>
              </w:tabs>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rPr>
      </w:pPr>
      <w:r>
        <w:rPr>
          <w:rFonts w:cs="Times New Roman" w:ascii="Times New Roman" w:hAnsi="Times New Roman"/>
        </w:rPr>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45" w:type="dxa"/>
          <w:bottom w:w="0" w:type="dxa"/>
          <w:right w:w="70" w:type="dxa"/>
        </w:tblCellMar>
        <w:tblLook w:firstRow="1" w:noVBand="1" w:lastRow="0" w:firstColumn="1" w:lastColumn="0" w:noHBand="0" w:val="04a0"/>
      </w:tblPr>
      <w:tblGrid>
        <w:gridCol w:w="1132"/>
        <w:gridCol w:w="1378"/>
        <w:gridCol w:w="1743"/>
        <w:gridCol w:w="1742"/>
        <w:gridCol w:w="1805"/>
        <w:gridCol w:w="1837"/>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4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 </w:t>
            </w:r>
          </w:p>
        </w:tc>
        <w:tc>
          <w:tcPr>
            <w:tcW w:w="137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Quarta-feira</w:t>
            </w:r>
          </w:p>
        </w:tc>
        <w:tc>
          <w:tcPr>
            <w:tcW w:w="1805"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Quinta-feira</w:t>
            </w:r>
          </w:p>
        </w:tc>
        <w:tc>
          <w:tcPr>
            <w:tcW w:w="183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(3ª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(3ª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(4ª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28kg</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(4ª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83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360"/>
        <w:jc w:val="both"/>
        <w:rPr>
          <w:rFonts w:ascii="Times New Roman" w:hAnsi="Times New Roman" w:cs="Times New Roman"/>
        </w:rPr>
      </w:pPr>
      <w:r>
        <w:rPr>
          <w:rFonts w:cs="Times New Roman" w:ascii="Times New Roman" w:hAnsi="Times New Roman"/>
        </w:rPr>
      </w:r>
    </w:p>
    <w:p>
      <w:pPr>
        <w:pStyle w:val="Standard"/>
        <w:numPr>
          <w:ilvl w:val="0"/>
          <w:numId w:val="0"/>
        </w:numPr>
        <w:spacing w:lineRule="auto" w:line="360"/>
        <w:ind w:left="360" w:hanging="0"/>
        <w:rPr>
          <w:rFonts w:ascii="Times New Roman" w:hAnsi="Times New Roman" w:cs="Times New Roman"/>
          <w:b/>
          <w:b/>
          <w:sz w:val="22"/>
          <w:szCs w:val="22"/>
        </w:rPr>
      </w:pPr>
      <w:r>
        <w:rPr>
          <w:rFonts w:cs="Times New Roman" w:ascii="Times New Roman" w:hAnsi="Times New Roman"/>
          <w:b/>
          <w:sz w:val="22"/>
          <w:szCs w:val="22"/>
        </w:rPr>
      </w:r>
    </w:p>
    <w:p>
      <w:pPr>
        <w:pStyle w:val="Standard"/>
        <w:spacing w:lineRule="auto" w:line="360"/>
        <w:ind w:left="0" w:hanging="0"/>
        <w:rPr>
          <w:rFonts w:ascii="Times New Roman" w:hAnsi="Times New Roman" w:cs="Times New Roman"/>
          <w:b/>
          <w:b/>
          <w:sz w:val="22"/>
          <w:szCs w:val="22"/>
        </w:rPr>
      </w:pPr>
      <w:r>
        <w:rPr>
          <w:rFonts w:cs="Times New Roman" w:ascii="Times New Roman" w:hAnsi="Times New Roman"/>
          <w:b/>
          <w:sz w:val="22"/>
          <w:szCs w:val="22"/>
        </w:rPr>
      </w:r>
    </w:p>
    <w:p>
      <w:pPr>
        <w:pStyle w:val="Standard"/>
        <w:numPr>
          <w:ilvl w:val="0"/>
          <w:numId w:val="0"/>
        </w:numPr>
        <w:spacing w:lineRule="auto" w:line="360"/>
        <w:ind w:left="360" w:hanging="0"/>
        <w:rPr>
          <w:rFonts w:ascii="Times New Roman" w:hAnsi="Times New Roman" w:cs="Times New Roman"/>
          <w:b/>
          <w:b/>
          <w:sz w:val="22"/>
          <w:szCs w:val="22"/>
        </w:rPr>
      </w:pPr>
      <w:r>
        <w:rPr>
          <w:rFonts w:cs="Times New Roman" w:ascii="Times New Roman" w:hAnsi="Times New Roman"/>
          <w:b/>
          <w:sz w:val="22"/>
          <w:szCs w:val="22"/>
        </w:rPr>
      </w:r>
    </w:p>
    <w:p>
      <w:pPr>
        <w:pStyle w:val="Standard"/>
        <w:numPr>
          <w:ilvl w:val="0"/>
          <w:numId w:val="2"/>
        </w:numPr>
        <w:spacing w:lineRule="auto" w:line="360"/>
        <w:ind w:left="0" w:hanging="0"/>
        <w:rPr/>
      </w:pPr>
      <w:r>
        <w:rPr>
          <w:rFonts w:cs="Times New Roman" w:ascii="Times New Roman" w:hAnsi="Times New Roman"/>
          <w:b/>
          <w:sz w:val="22"/>
          <w:szCs w:val="22"/>
        </w:rPr>
        <w:t>LOCAL E CONDIÇÕES DE ENTREGA</w:t>
      </w:r>
    </w:p>
    <w:p>
      <w:pPr>
        <w:pStyle w:val="Standard"/>
        <w:spacing w:lineRule="auto" w:line="360"/>
        <w:ind w:left="0" w:hanging="0"/>
        <w:rPr>
          <w:rFonts w:ascii="Times New Roman" w:hAnsi="Times New Roman" w:cs="Times New Roman"/>
          <w:b/>
          <w:b/>
          <w:sz w:val="22"/>
          <w:szCs w:val="22"/>
        </w:rPr>
      </w:pPr>
      <w:r>
        <w:rPr>
          <w:rFonts w:cs="Times New Roman" w:ascii="Times New Roman" w:hAnsi="Times New Roman"/>
          <w:b/>
          <w:sz w:val="22"/>
          <w:szCs w:val="22"/>
        </w:rPr>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Os produtos deverão ser entregues no Instituto Federal Farroupilha Campus Panambi, localizado na Rua Erechim, 860, Bairro Planalto CEP: 98280-000, Panambi/RS, Fone: (55) 3376- 8839.</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entrega e o descarregamento dos produtos são de responsabilidade do(s) produtor (es) vencedor(es);</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primeira entrega somente ocorrerá após assinatura do contrato ou do recebimento da nota de empenho;</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 xml:space="preserve">A entrega deve ser feita mediante agendamento do produtor junto ao Setor de assistência estudantil, após solicitação formal feita pelo referido setor e de acordo com a periodicidade constante no cronograma, conforme item 2.3. deste termo de referência. </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administração reserva-se o direito de realizar alterações nos cronogramas de entrega ou nas quantidades por entrega, conforme a demanda, desde que o total não ultrapasse a quantidade requerida dos produtos e o fornecedor seja previamente comunicado;</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entrega deverá ser durante o horário de expediente, das 08h00min até às 08h30min de segunda a sexta-feira;</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Os produtos deverão ser entregues em embalagens integras, isentos de substâncias terrosas, sujidades ou corpos estranhos aderidos aos produtos, umidade externa anormal, odor e sabor estranhos, bem como guardanapos para os produtos.</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Todos os produtos deverão atender ao disposto na legislação de alimentos, estabelecida pela Agência Nacional de Vigilância Sanitária/ Ministério da Saúde e pelo Ministério da Agricultura, Pecuária e Abastecimento (Resolução RDC nº 259/02 e 216/2004 – ANVISA).</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Os fornecedores deverão repor os produtos dentro do prazo de validade e/ou vida útil, no caso de qualquer alteração dos mesmos;</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No ato da entrega, o TERMO DE RECEBIMENTO deve ser assinado pelo representante da Unidade Executora e pelo grupo/ agricultor individual fornecedor, conforme modelo (Anexo VIII) deste edital.</w:t>
      </w:r>
    </w:p>
    <w:p>
      <w:pPr>
        <w:pStyle w:val="ListParagraph"/>
        <w:numPr>
          <w:ilvl w:val="1"/>
          <w:numId w:val="2"/>
        </w:numPr>
        <w:tabs>
          <w:tab w:val="left" w:pos="0" w:leader="none"/>
        </w:tabs>
        <w:spacing w:lineRule="auto" w:line="360" w:before="0" w:afterAutospacing="1"/>
        <w:ind w:left="0" w:hanging="0"/>
        <w:jc w:val="both"/>
        <w:rPr>
          <w:rFonts w:ascii="Times New Roman" w:hAnsi="Times New Roman" w:cs="Times New Roman"/>
          <w:color w:val="000000"/>
        </w:rPr>
      </w:pPr>
      <w:r>
        <w:rPr>
          <w:rFonts w:cs="Times New Roman" w:ascii="Times New Roman" w:hAnsi="Times New Roman"/>
          <w:color w:val="000000"/>
        </w:rPr>
        <w:t>Termo de Recebimento é o instrumento que atesta que os produtos entregues estão de acordo com o cronograma previsto no contrato e dentro dos padrões de qualidade exigidos.</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t>Responsável pela elaboração do edital</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both"/>
        <w:rPr/>
      </w:pPr>
      <w:r>
        <w:rPr>
          <w:rFonts w:eastAsia="Times New Roman" w:cs="Times New Roman" w:ascii="Times New Roman" w:hAnsi="Times New Roman"/>
          <w:b/>
          <w:lang w:eastAsia="pt-BR"/>
        </w:rPr>
        <w:t>Conforme previsão legal e as peças juntadas aos autos do processo 23240.000390/2019-17 autorizo a realização da fase externa do certame.</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________________________________________</w:t>
        <w:br/>
        <w:t>Alessandro Callai Bazzan</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Ordenador de Despesas</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pPr>
      <w:r>
        <w:rPr>
          <w:rFonts w:eastAsia="Times New Roman" w:cs="Times New Roman" w:ascii="Times New Roman" w:hAnsi="Times New Roman"/>
          <w:b/>
          <w:lang w:eastAsia="pt-BR"/>
        </w:rPr>
        <w:t>CHAMADA PÚBLICA 01/2019</w:t>
      </w:r>
    </w:p>
    <w:p>
      <w:pPr>
        <w:pStyle w:val="Normal"/>
        <w:spacing w:lineRule="auto" w:line="360" w:before="0" w:after="0"/>
        <w:jc w:val="center"/>
        <w:rPr/>
      </w:pPr>
      <w:r>
        <w:rPr>
          <w:rFonts w:eastAsia="Times New Roman" w:cs="Times New Roman" w:ascii="Times New Roman" w:hAnsi="Times New Roman"/>
          <w:b/>
          <w:lang w:eastAsia="pt-BR"/>
        </w:rPr>
        <w:t>Processo nº 23240.000390/2019-17</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ANEXO II</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 xml:space="preserve">MINUTA DO CONTRATO </w:t>
      </w:r>
    </w:p>
    <w:p>
      <w:pPr>
        <w:pStyle w:val="Normal"/>
        <w:spacing w:lineRule="auto" w:line="360" w:before="0" w:after="0"/>
        <w:jc w:val="center"/>
        <w:rPr/>
      </w:pPr>
      <w:r>
        <w:rPr>
          <w:rFonts w:eastAsia="Times New Roman" w:cs="Times New Roman" w:ascii="Times New Roman" w:hAnsi="Times New Roman"/>
          <w:b/>
          <w:lang w:eastAsia="pt-BR"/>
        </w:rPr>
        <w:t>CONTRATO Nº...... /2019</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Autospacing="1"/>
        <w:jc w:val="both"/>
        <w:rPr/>
      </w:pPr>
      <w:r>
        <w:rPr>
          <w:rFonts w:eastAsia="Times New Roman" w:cs="Times New Roman" w:ascii="Times New Roman" w:hAnsi="Times New Roman"/>
          <w:lang w:eastAsia="pt-BR"/>
        </w:rPr>
        <w:t xml:space="preserve">O Instituto Federal Farroupilha Campus Panambi, pessoa jurídica de direito público, com sede à Rua Erechim, N.º 860, inscrita no CNPJ sob n.º 10.662.072/0007-43, representada neste ato pela Diretora Geral Alessandro Callai Bazzan, doravante denominado CONTRATANTE, e por outro lado _______________________________ (nome do grupo formal ou informal ou fornecedor individual), situado na _____________, n.º____, em (município), inscrita no CNPJ sob n.º ________________________, (para grupo formal), CPF sob n.º_____________ (grupos informais e individuais), doravante denominado (a) CONTRATADO (A), fundamentados nas disposições da  </w:t>
      </w:r>
      <w:hyperlink r:id="rId6">
        <w:r>
          <w:rPr>
            <w:rStyle w:val="LinkdaInternet"/>
            <w:rFonts w:eastAsia="Times New Roman" w:cs="Times New Roman" w:ascii="Times New Roman" w:hAnsi="Times New Roman"/>
            <w:b/>
            <w:lang w:eastAsia="pt-BR"/>
          </w:rPr>
          <w:t>Lei n° 11.947/2009</w:t>
        </w:r>
      </w:hyperlink>
      <w:r>
        <w:rPr>
          <w:rFonts w:cs="Times New Roman" w:ascii="Times New Roman" w:hAnsi="Times New Roman"/>
          <w:color w:val="000000"/>
        </w:rPr>
        <w:t>, da Resolução/CD/FNDE nº. 26 de 17 de junho de 2013, Res</w:t>
      </w:r>
      <w:r>
        <w:rPr>
          <w:rFonts w:eastAsia="Times New Roman" w:cs="Times New Roman" w:ascii="Times New Roman" w:hAnsi="Times New Roman"/>
          <w:lang w:eastAsia="pt-BR"/>
        </w:rPr>
        <w:t xml:space="preserve">olução FNDE n° 4 </w:t>
      </w:r>
      <w:r>
        <w:rPr>
          <w:rFonts w:cs="Times New Roman" w:ascii="Times New Roman" w:hAnsi="Times New Roman"/>
        </w:rPr>
        <w:t xml:space="preserve">de 2 de abril de 2015 </w:t>
      </w:r>
      <w:r>
        <w:rPr>
          <w:rFonts w:eastAsia="Times New Roman" w:cs="Times New Roman" w:ascii="Times New Roman" w:hAnsi="Times New Roman"/>
          <w:lang w:eastAsia="pt-BR"/>
        </w:rPr>
        <w:t>e</w:t>
      </w:r>
      <w:r>
        <w:rPr>
          <w:rFonts w:cs="Times New Roman" w:ascii="Times New Roman" w:hAnsi="Times New Roman"/>
          <w:color w:val="000000"/>
        </w:rPr>
        <w:t xml:space="preserve"> aplicando-se, subsidiariamente, a lei nº 8.666/93, </w:t>
      </w:r>
      <w:r>
        <w:rPr>
          <w:rFonts w:eastAsia="Times New Roman" w:cs="Times New Roman" w:ascii="Times New Roman" w:hAnsi="Times New Roman"/>
          <w:lang w:eastAsia="pt-BR"/>
        </w:rPr>
        <w:t>e tendo em vista o que consta na Chamada Pública nº 01/2019, resolvem celebrar o presente contrato mediante as cláusulas que seguem:</w:t>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PRIMEIRA: DO OBJETO</w:t>
      </w:r>
    </w:p>
    <w:p>
      <w:pPr>
        <w:pStyle w:val="Ttulo2"/>
        <w:numPr>
          <w:ilvl w:val="1"/>
          <w:numId w:val="3"/>
        </w:numPr>
        <w:spacing w:lineRule="auto" w:line="360"/>
        <w:jc w:val="both"/>
        <w:rPr/>
      </w:pPr>
      <w:r>
        <w:rPr>
          <w:rFonts w:eastAsia="Times New Roman" w:cs="Times New Roman" w:ascii="Times New Roman" w:hAnsi="Times New Roman"/>
          <w:b w:val="false"/>
          <w:color w:val="00000A"/>
          <w:sz w:val="22"/>
          <w:szCs w:val="22"/>
          <w:lang w:eastAsia="pt-BR"/>
        </w:rPr>
        <w:t>É objeto desta contratação a aquisição de gêneros alimentícios diretamente da Agricultura Familiar e do Empreendedor Familiar Rural, para o atendimento ao Programa Nacional de Alimentação Escolar, destinado aos alunos matriculados do IF FARROUPILHA- CÂMPUS PANAMBI, verba FNDE/PNAE, de acordo com a chamada pública n.º 01/2019.</w:t>
      </w:r>
    </w:p>
    <w:p>
      <w:pPr>
        <w:pStyle w:val="Ttulo2"/>
        <w:numPr>
          <w:ilvl w:val="1"/>
          <w:numId w:val="3"/>
        </w:numPr>
        <w:spacing w:lineRule="auto" w:line="360"/>
        <w:jc w:val="both"/>
        <w:rPr/>
      </w:pPr>
      <w:r>
        <w:rPr>
          <w:rFonts w:eastAsia="Times New Roman" w:cs="Times New Roman" w:ascii="Times New Roman" w:hAnsi="Times New Roman"/>
          <w:b w:val="false"/>
          <w:color w:val="00000A"/>
          <w:sz w:val="22"/>
          <w:szCs w:val="22"/>
          <w:lang w:eastAsia="pt-BR"/>
        </w:rPr>
        <w:t>Este Termo de Contrato vincula-se ao Edital da Chamada Pública 01/2019, identificado no preâmbulo e à proposta vencedora, independentemente de transcrição.</w:t>
      </w:r>
    </w:p>
    <w:p>
      <w:pPr>
        <w:pStyle w:val="Normal"/>
        <w:rPr>
          <w:rFonts w:ascii="Times New Roman" w:hAnsi="Times New Roman" w:cs="Times New Roman"/>
          <w:lang w:eastAsia="pt-BR"/>
        </w:rPr>
      </w:pPr>
      <w:r>
        <w:rPr>
          <w:rFonts w:cs="Times New Roman" w:ascii="Times New Roman" w:hAnsi="Times New Roman"/>
          <w:lang w:eastAsia="pt-BR"/>
        </w:rPr>
      </w:r>
    </w:p>
    <w:p>
      <w:pPr>
        <w:pStyle w:val="Normal"/>
        <w:rPr>
          <w:rFonts w:ascii="Times New Roman" w:hAnsi="Times New Roman" w:cs="Times New Roman"/>
          <w:lang w:eastAsia="pt-BR"/>
        </w:rPr>
      </w:pPr>
      <w:r>
        <w:rPr>
          <w:rFonts w:cs="Times New Roman" w:ascii="Times New Roman" w:hAnsi="Times New Roman"/>
          <w:lang w:eastAsia="pt-BR"/>
        </w:rPr>
      </w:r>
    </w:p>
    <w:p>
      <w:pPr>
        <w:pStyle w:val="Normal"/>
        <w:rPr>
          <w:rFonts w:ascii="Times New Roman" w:hAnsi="Times New Roman" w:cs="Times New Roman"/>
          <w:lang w:eastAsia="pt-BR"/>
        </w:rPr>
      </w:pPr>
      <w:r>
        <w:rPr>
          <w:rFonts w:cs="Times New Roman" w:ascii="Times New Roman" w:hAnsi="Times New Roman"/>
          <w:lang w:eastAsia="pt-BR"/>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SEGUNDA: DAS QUANTIDADES, CARACTERISTICAS, PREÇOS DOS PRODUTOS.</w:t>
      </w:r>
    </w:p>
    <w:p>
      <w:pPr>
        <w:pStyle w:val="ListParagraph"/>
        <w:numPr>
          <w:ilvl w:val="1"/>
          <w:numId w:val="3"/>
        </w:numPr>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 </w:t>
      </w:r>
    </w:p>
    <w:tbl>
      <w:tblPr>
        <w:tblW w:w="1029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276"/>
        <w:gridCol w:w="1277"/>
        <w:gridCol w:w="1276"/>
        <w:gridCol w:w="1322"/>
        <w:gridCol w:w="1710"/>
        <w:gridCol w:w="1710"/>
        <w:gridCol w:w="2"/>
        <w:gridCol w:w="1721"/>
      </w:tblGrid>
      <w:tr>
        <w:trPr>
          <w:trHeight w:val="42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Item</w:t>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tcPr>
          <w:p>
            <w:pPr>
              <w:pStyle w:val="Normal"/>
              <w:spacing w:lineRule="auto" w:line="360" w:before="0" w:after="0"/>
              <w:jc w:val="center"/>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Produto</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Unidade</w:t>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Quantidade</w:t>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Periodicidade de Entrega</w:t>
            </w:r>
          </w:p>
        </w:tc>
        <w:tc>
          <w:tcPr>
            <w:tcW w:w="343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Preço de Aquisição</w:t>
            </w:r>
          </w:p>
        </w:tc>
      </w:tr>
      <w:tr>
        <w:trPr>
          <w:trHeight w:val="285"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Preço Unitário (divulgado na chamada pública)</w:t>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Preço Total</w:t>
            </w:r>
          </w:p>
        </w:tc>
      </w:tr>
      <w:tr>
        <w:trPr>
          <w:trHeight w:val="285"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18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7297"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Valor Total do Contrato</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bl>
    <w:p>
      <w:pPr>
        <w:pStyle w:val="Normal"/>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TERCEIRA: LOCAL E CONDIÇÕES DE ENTREGA</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 </w:t>
      </w:r>
      <w:r>
        <w:rPr>
          <w:rFonts w:eastAsia="Times New Roman" w:cs="Times New Roman" w:ascii="Times New Roman" w:hAnsi="Times New Roman"/>
          <w:lang w:eastAsia="pt-BR"/>
        </w:rPr>
        <w:t>Os produtos deverão ser entregues do Instituto Federal Farroupilha Campus Panambi, localizado na Rua Erechim, 860, Bairro Planalto CEP: 98280-000, Panambi/RS, Fone: (55) 3376- 8839.</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entrega e o descarregamento dos produtos são de responsabilidade do(s) produtor (es) vencedor(es);</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primeira entrega somente ocorrerá após assinatura do contrato ou do recebimento da nota de empenho;</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entrega deve ser feita mediante agendamento do produtor junto ao Setor de Assistência Estudantil, após solicitação formal feita pelo referido setor e de acordo com a periodicidade constante no cronograma acima.</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administração reserva-se o direito de realizar alterações nos cronogramas de entrega ou nas quantidades por entrega, conforme a demanda, desde que o total não ultrapasse a quantidade requerida dos produtos e o fornecedor seja previamente comunicado;</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entrega deverá ser durante o horário de expediente, das 08h00min até às08h30min de segunda a sexta-feira;</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cs="Times New Roman" w:ascii="Times New Roman" w:hAnsi="Times New Roman"/>
          <w:color w:val="000000"/>
        </w:rPr>
        <w:t>Os produtos deverão ser entregues em embalagens integras, isentos de substâncias terrosas, sujidades ou corpos estranhos aderidos aos produtos, umidade externa anormal, odor e sabor estranhos, bem como guardanapos para os produtos.</w:t>
      </w:r>
    </w:p>
    <w:p>
      <w:pPr>
        <w:pStyle w:val="ListParagraph"/>
        <w:numPr>
          <w:ilvl w:val="1"/>
          <w:numId w:val="3"/>
        </w:numPr>
        <w:spacing w:lineRule="auto" w:line="360" w:before="0" w:after="0"/>
        <w:jc w:val="both"/>
        <w:rPr>
          <w:rFonts w:ascii="Times New Roman" w:hAnsi="Times New Roman" w:cs="Times New Roman"/>
          <w:color w:val="000000"/>
        </w:rPr>
      </w:pPr>
      <w:r>
        <w:rPr>
          <w:rFonts w:cs="Times New Roman" w:ascii="Times New Roman" w:hAnsi="Times New Roman"/>
          <w:color w:val="000000"/>
        </w:rPr>
        <w:t>Todos os produtos deverão atender ao disposto na legislação de alimentos, estabelecida pela Agência Nacional de Vigilância Sanitária/ Ministério da Saúde e pelo Ministério da Agricultura, Pecuária e Abastecimento (Resolução RDC nº 259/02 e 216/2004 – ANVISA).</w:t>
      </w:r>
    </w:p>
    <w:p>
      <w:pPr>
        <w:pStyle w:val="ListParagraph"/>
        <w:numPr>
          <w:ilvl w:val="1"/>
          <w:numId w:val="3"/>
        </w:numPr>
        <w:spacing w:lineRule="auto" w:line="360" w:before="0" w:after="0"/>
        <w:jc w:val="both"/>
        <w:rPr>
          <w:rFonts w:ascii="Times New Roman" w:hAnsi="Times New Roman" w:cs="Times New Roman"/>
          <w:color w:val="000000"/>
        </w:rPr>
      </w:pPr>
      <w:r>
        <w:rPr>
          <w:rFonts w:cs="Times New Roman" w:ascii="Times New Roman" w:hAnsi="Times New Roman"/>
          <w:color w:val="000000"/>
        </w:rPr>
        <w:t>Os fornecedores deverão repor os produtos dentro do prazo de validade e/ou vida útil, no caso de qualquer alteração dos mesmos;</w:t>
      </w:r>
    </w:p>
    <w:p>
      <w:pPr>
        <w:pStyle w:val="ListParagraph"/>
        <w:numPr>
          <w:ilvl w:val="1"/>
          <w:numId w:val="3"/>
        </w:numPr>
        <w:spacing w:lineRule="auto" w:line="360" w:before="0" w:after="0"/>
        <w:jc w:val="both"/>
        <w:rPr>
          <w:rFonts w:ascii="Times New Roman" w:hAnsi="Times New Roman" w:cs="Times New Roman"/>
          <w:color w:val="000000"/>
        </w:rPr>
      </w:pPr>
      <w:r>
        <w:rPr>
          <w:rFonts w:cs="Times New Roman" w:ascii="Times New Roman" w:hAnsi="Times New Roman"/>
          <w:color w:val="000000"/>
        </w:rPr>
        <w:t>No ato da entrega, o TERMO DE RECEBIMENTO deve ser assinado pelo representante da Unidade Executora e pelo grupo/ agricultor individual fornecedor, conforme modelo (Anexo VIII) deste edital.</w:t>
      </w:r>
    </w:p>
    <w:p>
      <w:pPr>
        <w:pStyle w:val="ListParagraph"/>
        <w:numPr>
          <w:ilvl w:val="1"/>
          <w:numId w:val="3"/>
        </w:numPr>
        <w:spacing w:lineRule="auto" w:line="360" w:before="0" w:afterAutospacing="1"/>
        <w:jc w:val="both"/>
        <w:rPr/>
      </w:pPr>
      <w:r>
        <w:rPr>
          <w:rFonts w:cs="Times New Roman" w:ascii="Times New Roman" w:hAnsi="Times New Roman"/>
          <w:color w:val="000000"/>
        </w:rPr>
        <w:t>Termo de Recebimento é o instrumento que atesta que os produtos entregues estão de acordo com o cronograma previsto no contrato e dentro dos padrões de qualidade exigidos.</w:t>
      </w:r>
    </w:p>
    <w:p>
      <w:pPr>
        <w:pStyle w:val="ListParagraph"/>
        <w:spacing w:lineRule="auto" w:line="360" w:before="0" w:afterAutospacing="1"/>
        <w:ind w:left="1512" w:hanging="0"/>
        <w:jc w:val="both"/>
        <w:rPr>
          <w:rFonts w:ascii="Times New Roman" w:hAnsi="Times New Roman" w:cs="Times New Roman"/>
          <w:color w:val="000000"/>
        </w:rPr>
      </w:pPr>
      <w:r>
        <w:rPr>
          <w:rFonts w:cs="Times New Roman" w:ascii="Times New Roman" w:hAnsi="Times New Roman"/>
          <w:color w:val="000000"/>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QUARTA: PERIODO DE VIGÊNCIA</w:t>
      </w:r>
    </w:p>
    <w:p>
      <w:pPr>
        <w:pStyle w:val="ListParagraph"/>
        <w:numPr>
          <w:ilvl w:val="1"/>
          <w:numId w:val="3"/>
        </w:numPr>
        <w:spacing w:lineRule="auto" w:line="360" w:before="0" w:afterAutospacing="1"/>
        <w:jc w:val="both"/>
        <w:rPr>
          <w:rFonts w:ascii="Times New Roman" w:hAnsi="Times New Roman" w:cs="Times New Roman"/>
        </w:rPr>
      </w:pPr>
      <w:r>
        <w:rPr>
          <w:rFonts w:cs="Times New Roman" w:ascii="Times New Roman" w:hAnsi="Times New Roman"/>
        </w:rPr>
        <w:t xml:space="preserve">O prazo de vigência do contrato será de seis meses, a partir da data da assinatura ou até a entrega do quantitativo total dos produtos adquiridos, o que ocorrer primeiro. </w:t>
      </w:r>
    </w:p>
    <w:p>
      <w:pPr>
        <w:pStyle w:val="Normal"/>
        <w:spacing w:lineRule="auto" w:line="360" w:before="0" w:afterAutospacing="1"/>
        <w:jc w:val="both"/>
        <w:rPr>
          <w:rFonts w:ascii="Times New Roman" w:hAnsi="Times New Roman" w:cs="Times New Roman"/>
        </w:rPr>
      </w:pPr>
      <w:r>
        <w:rPr>
          <w:rFonts w:cs="Times New Roman" w:ascii="Times New Roman" w:hAnsi="Times New Roman"/>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QUINTA: DO LIMITE DE VENDA</w:t>
      </w:r>
    </w:p>
    <w:p>
      <w:pPr>
        <w:pStyle w:val="Standard"/>
        <w:numPr>
          <w:ilvl w:val="1"/>
          <w:numId w:val="3"/>
        </w:numPr>
        <w:spacing w:lineRule="auto" w:line="360" w:before="0" w:after="120"/>
        <w:ind w:left="792" w:right="-15" w:hanging="432"/>
        <w:jc w:val="both"/>
        <w:rPr>
          <w:rFonts w:ascii="Times New Roman" w:hAnsi="Times New Roman" w:cs="Times New Roman"/>
          <w:b/>
          <w:b/>
          <w:sz w:val="22"/>
          <w:szCs w:val="22"/>
        </w:rPr>
      </w:pPr>
      <w:r>
        <w:rPr>
          <w:rFonts w:cs="Times New Roman" w:ascii="Times New Roman" w:hAnsi="Times New Roman"/>
          <w:sz w:val="22"/>
          <w:szCs w:val="22"/>
        </w:rPr>
        <w:t>O limite individual de venda de gêneros alimentícios do CONTRATADO será de até R$ 20.000,00 (vinte mil reais) por DAP, por ano civil, referente à sua produção, conforme a legislação do Programa Nacional de Alimentação Escolar (PNAE).</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limite individual por DAP/ano será controlado pelo FNDE e MDA, conforme acordo de Cooperação firmada entre estes.</w:t>
      </w:r>
    </w:p>
    <w:p>
      <w:pPr>
        <w:pStyle w:val="Standard"/>
        <w:spacing w:lineRule="auto" w:line="360" w:before="0" w:after="120"/>
        <w:ind w:right="-15"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SEXTA: DOS RECURSOS FINANCEIROS</w:t>
      </w:r>
    </w:p>
    <w:p>
      <w:pPr>
        <w:pStyle w:val="Standard"/>
        <w:numPr>
          <w:ilvl w:val="1"/>
          <w:numId w:val="3"/>
        </w:numPr>
        <w:spacing w:lineRule="auto" w:line="360" w:before="0" w:after="120"/>
        <w:ind w:left="360" w:right="-15" w:hanging="432"/>
        <w:jc w:val="both"/>
        <w:rPr>
          <w:rFonts w:ascii="Times New Roman" w:hAnsi="Times New Roman" w:cs="Times New Roman"/>
          <w:sz w:val="22"/>
          <w:szCs w:val="22"/>
        </w:rPr>
      </w:pPr>
      <w:r>
        <w:rPr>
          <w:rFonts w:cs="Times New Roman" w:ascii="Times New Roman" w:hAnsi="Times New Roman"/>
          <w:sz w:val="22"/>
          <w:szCs w:val="22"/>
        </w:rPr>
        <w:t>As despesas decorrentes do presente contrato correrão por conta de recursos provenientes do FNDE (Fundo Nacional de Desenvolvimento da Educação), Elementos de Despesas n° Fonte de Recursos n° e PTRES n°, exercício financeiro do ano corrente.</w:t>
      </w:r>
    </w:p>
    <w:p>
      <w:pPr>
        <w:pStyle w:val="Standard"/>
        <w:spacing w:lineRule="auto" w:line="360" w:before="0" w:after="120"/>
        <w:ind w:right="-15"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SETIMA: DA RESPONSABILIDADE DOS FORNECEDORES</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Os fornecedores que aderirem a este processo declaram que atendem a todas as exigências legais e regulatórias a execução do seu objeto, sujeitando-se, em caso de declaração falsa, as penalidades previstas nos artigos 87 e 88 da lei 8666/93.</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deverá manter, durante toda a execução do contrato, em compatibilidade com as obrigações por ele assumidas, todas as condições de habilitação e qualificação exigidas na Chamada Pública, conforme inc. XII do art. 55 da lei 8.666/93;</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 compromete a fornecer os gêneros alimentícios conforme o disposto no padrão de identidade e qualidade estabelecida na legislação vigente, nas especificações técnicas elaboradas pela Supervisão de Alimentação Escolar, bem como no projeto de venda;</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 compromete a fornecer os gêneros alimentícios nos preços estabelecidos nesta Chamada Pública durante a vigência do contrato;</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 compromete a fornecer os gêneros alimentícios conforme cronograma de entrega definido pela Administração Escolar, com datas, locais, produto e qualidades, além das demais cláusulas de compra e venda. O início da entrega dos produtos deve observar o cronograma estabelecido no ato contratual;</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Será de responsabilidade exclusiva do agricultor o ressarcimento de eventuais prejuízos decorrentes da má qualidade dos produtos ou do atraso no fornecimento.</w:t>
      </w:r>
    </w:p>
    <w:p>
      <w:pPr>
        <w:pStyle w:val="Standard"/>
        <w:widowControl w:val="false"/>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CLÁUSULA OITAVA: DA RESPONSABILIDADE DA CONTRATANTE</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Acompanhar e fiscalizar a execução do contrato, bem como atestar, na Nota Fiscal Fatura, a entrega efetiva do objeto, emitir Termo de Recebimento Definitivo ou, se for o caso, recusar o fornecimento desconforme;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Efetuar os pagamentos ao contratado dentro do prazo estipulado no edital;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Efetuar o cadastramento do(s) proponente(s) homologado(s) no SICAF – Sistema de Cadastramento Unificado de Fornecedores, antes de sua contratação, com base no reexame da documentação apresentada para habilitação, devidamente atualizada, sem ônus para o proponente, se este ainda não estiver inscrito no referido cadastro.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Aplicar ao contratado as penalidades regulamentares e contratuais.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Contratante se compromete em guardar pelo prazo estabelecido no inciso 11 do artigo 45 da resolução CD/FNDE n° 26/2013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NONA: DO PAGAMENTO</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será remunerado exclusivamente de acordo com os itens, quantidades e preços previstos neste edital.</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O pagamento será efetuado por meio de Ordem Bancária de Crédito, mediante depósito em conta corrente no nome do contratado, na agência e estabelecimento bancário indicados por ele, ou por outro meio previsto na legislação vigente.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pagamento será realizado até 30 (trinta) dias após a última entrega do mês, dos gêneros alimentícios e será creditado em nome da contratada através de nota de empenho, em conta corrente por ela indicada, mediante apresentação de documento fiscal correspondente ao fornecimento efetuado, uma vez satisfeitas as condições estabelecidas, vedada à antecipação de pagamento, para cada faturamento.</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Ficará reservado ao Campus Panambi o direito de suspender o pagamento, até a regularização da situação, se, no ato da entrega ou na fase de recebimento definitivo forem identificadas imperfeições e/ou divergências em relação às especificações técnicas.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Serão retidas na fonte e recolhidas previamente aos cofres públicos as taxas, impostos e contribuições previstas na legislação pertinente, cujos valores e percentuais respectivos deverão estar discriminados em local próprio do documento fiscal de cobrança.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Quando do pagamento, se for o caso, será efetuada a retenção tributária prevista na legislação aplicável.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A cada pagamento ao fornecedor a Administração realizará consulta online para verificar a manutenção das condições de habilitação.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Constatando-se, junto ao SICAF, a situação de irregularidade do fornecedor contratado, deve-se providenciar a sua advertência, por escrito, no sentido de que, no prazo de 5 (cinco) dias úteis, o fornecedor regularize sua situação ou, no mesmo prazo, apresente sua defesa;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O prazo do subitem anterior poderá ser prorrogado única vez, por igual período, a critério da Administração; </w:t>
      </w:r>
    </w:p>
    <w:p>
      <w:pPr>
        <w:pStyle w:val="Standard"/>
        <w:numPr>
          <w:ilvl w:val="1"/>
          <w:numId w:val="3"/>
        </w:numPr>
        <w:spacing w:lineRule="auto" w:line="360" w:before="0" w:after="120"/>
        <w:ind w:left="426" w:right="-15" w:hanging="83"/>
        <w:jc w:val="both"/>
        <w:rPr>
          <w:rFonts w:ascii="Times New Roman" w:hAnsi="Times New Roman" w:cs="Times New Roman"/>
          <w:sz w:val="22"/>
          <w:szCs w:val="22"/>
        </w:rPr>
      </w:pPr>
      <w:r>
        <w:rPr>
          <w:rFonts w:cs="Times New Roman" w:ascii="Times New Roman" w:hAnsi="Times New Roman"/>
          <w:sz w:val="22"/>
          <w:szCs w:val="22"/>
        </w:rPr>
        <w:t xml:space="preserve">Não havendo regularização ou sendo a defesa considerada improcedente, a Administração deverá comunicar aos órgãos responsáveis pela fiscalização da regularidade fiscal quanto à inadimplência do fornecedor, bem como quanto à existência de pagamento a ser efetuado pela Administração, para que sejam acionados os meios pertinentes e necessários para garantir o recebimento de seus créditos;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Persistindo a irregularidade, a Administração deverá adotar as medidas necessárias à rescisão dos contratos em execução, nos autos dos processos administrativos correspondentes, assegurada à contratada a ampla defesa;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Havendo a efetiva prestação de serviços ou o fornecimento dos bens, os pagamentos serão realizados normalmente, até que se decida pela rescisão contratual, caso o fornecedor não regularize sua situação junto ao SICAF;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Somente por motivo de economicidade, segurança nacional ou outro interesse público de alta relevância, devidamente justificado, em qualquer caso, pela máxima autoridade do órgão ou entidade contratante, não será rescindido o contrato em execução com empresa ou profissional inadimplente no SICAF.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contratado providencie as medidas saneadoras. Nesta hipótese, o prazo para pagamento iniciar-se-á após a comprovação da regularização da situação, não acarretando qualquer ônus para o contratante.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Será considerada como data do pagamento o dia em que constar como emitida a ordem bancária para pagamento.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O contratante não se responsabilizará por qualquer despesa que venha a ser efetuada pelo contratado, que porventura não tenha sido acordada no contrato.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A Administração deduzirá do montante a ser pago os valores correspondentes às multas e/ou indenizações devidas pelo contratado.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O desconto de qualquer valor no pagamento devido ao contratado, por motivo de descumprimento de obrigações, será precedido de processo administrativo em que será garantido ao contratado o contraditório e a ampla defesa, com os recursos e meios que lhes são inerentes.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Em casos de eventuais atrasos de pagamento, provocados exclusivamente pela Administração, a mesma deverá pagar multa de 2%, mais juros de 0,1% ao dia, sobre o valor da parcela vencida, </w:t>
      </w:r>
      <w:r>
        <w:rPr>
          <w:rFonts w:cs="Times New Roman" w:ascii="Times New Roman" w:hAnsi="Times New Roman"/>
          <w:b/>
          <w:sz w:val="22"/>
          <w:szCs w:val="22"/>
        </w:rPr>
        <w:t>ressalvados nos casos quando não efetivados os repasses mensais de recursos do FNDE em tempo hábil.</w:t>
      </w:r>
    </w:p>
    <w:p>
      <w:pPr>
        <w:pStyle w:val="Nivel11"/>
        <w:numPr>
          <w:ilvl w:val="0"/>
          <w:numId w:val="3"/>
        </w:numPr>
        <w:rPr>
          <w:rFonts w:ascii="Times New Roman" w:hAnsi="Times New Roman" w:cs="Times New Roman"/>
          <w:color w:val="000000" w:themeColor="text1"/>
          <w:sz w:val="22"/>
          <w:szCs w:val="22"/>
        </w:rPr>
      </w:pPr>
      <w:r>
        <w:rPr>
          <w:rFonts w:cs="Times New Roman" w:ascii="Times New Roman" w:hAnsi="Times New Roman"/>
          <w:smallCaps/>
          <w:color w:val="000000" w:themeColor="text1"/>
          <w:sz w:val="22"/>
          <w:szCs w:val="22"/>
        </w:rPr>
        <w:t>CLÁUSULA DECIMA</w:t>
      </w:r>
      <w:r>
        <w:rPr>
          <w:rFonts w:cs="Times New Roman" w:ascii="Times New Roman" w:hAnsi="Times New Roman"/>
          <w:color w:val="000000" w:themeColor="text1"/>
          <w:sz w:val="22"/>
          <w:szCs w:val="22"/>
        </w:rPr>
        <w:t xml:space="preserve"> </w:t>
      </w:r>
      <w:r>
        <w:rPr>
          <w:rFonts w:cs="Times New Roman" w:ascii="Times New Roman" w:hAnsi="Times New Roman"/>
          <w:smallCaps/>
          <w:color w:val="000000" w:themeColor="text1"/>
          <w:sz w:val="22"/>
          <w:szCs w:val="22"/>
        </w:rPr>
        <w:t>–</w:t>
      </w:r>
      <w:r>
        <w:rPr>
          <w:rFonts w:cs="Times New Roman" w:ascii="Times New Roman" w:hAnsi="Times New Roman"/>
          <w:color w:val="000000" w:themeColor="text1"/>
          <w:sz w:val="22"/>
          <w:szCs w:val="22"/>
        </w:rPr>
        <w:t xml:space="preserve"> INEXISTÊNCIA DE REAJUSTE</w:t>
      </w:r>
    </w:p>
    <w:p>
      <w:pPr>
        <w:pStyle w:val="Normal"/>
        <w:numPr>
          <w:ilvl w:val="1"/>
          <w:numId w:val="3"/>
        </w:numPr>
        <w:spacing w:before="120" w:after="120"/>
        <w:jc w:val="both"/>
        <w:rPr>
          <w:rFonts w:ascii="Times New Roman" w:hAnsi="Times New Roman" w:cs="Times New Roman"/>
          <w:color w:val="000000" w:themeColor="text1"/>
        </w:rPr>
      </w:pPr>
      <w:r>
        <w:rPr>
          <w:rFonts w:cs="Times New Roman" w:ascii="Times New Roman" w:hAnsi="Times New Roman"/>
          <w:bCs/>
          <w:iCs/>
          <w:color w:val="000000" w:themeColor="text1"/>
        </w:rPr>
        <w:t>O preço é fixo e irreajustável</w:t>
      </w:r>
      <w:r>
        <w:rPr>
          <w:rFonts w:cs="Times New Roman" w:ascii="Times New Roman" w:hAnsi="Times New Roman"/>
          <w:color w:val="000000" w:themeColor="text1"/>
        </w:rPr>
        <w:t>.</w:t>
      </w:r>
    </w:p>
    <w:p>
      <w:pPr>
        <w:pStyle w:val="Nivel11"/>
        <w:numPr>
          <w:ilvl w:val="0"/>
          <w:numId w:val="3"/>
        </w:numPr>
        <w:rPr>
          <w:rFonts w:ascii="Times New Roman" w:hAnsi="Times New Roman" w:cs="Times New Roman"/>
          <w:smallCaps/>
          <w:color w:val="000000" w:themeColor="text1"/>
          <w:sz w:val="22"/>
          <w:szCs w:val="22"/>
        </w:rPr>
      </w:pPr>
      <w:r>
        <w:rPr>
          <w:rFonts w:cs="Times New Roman" w:ascii="Times New Roman" w:hAnsi="Times New Roman"/>
          <w:smallCaps/>
          <w:color w:val="000000" w:themeColor="text1"/>
          <w:sz w:val="22"/>
          <w:szCs w:val="22"/>
        </w:rPr>
        <w:t>CLÁUSULA DECIMA PRIMEIRA – GARANTIA DE EXECUÇÃO</w:t>
      </w:r>
    </w:p>
    <w:p>
      <w:pPr>
        <w:pStyle w:val="Normal"/>
        <w:numPr>
          <w:ilvl w:val="1"/>
          <w:numId w:val="3"/>
        </w:numPr>
        <w:spacing w:before="120" w:after="120"/>
        <w:jc w:val="both"/>
        <w:rPr>
          <w:rFonts w:ascii="Times New Roman" w:hAnsi="Times New Roman" w:cs="Times New Roman"/>
          <w:color w:val="000000" w:themeColor="text1"/>
          <w:lang w:eastAsia="pt-BR"/>
        </w:rPr>
      </w:pPr>
      <w:r>
        <w:rPr>
          <w:rFonts w:cs="Times New Roman" w:ascii="Times New Roman" w:hAnsi="Times New Roman"/>
          <w:color w:val="000000" w:themeColor="text1"/>
          <w:lang w:eastAsia="pt-BR"/>
        </w:rPr>
        <w:t>Não será exigido garantia</w:t>
      </w:r>
    </w:p>
    <w:p>
      <w:pPr>
        <w:pStyle w:val="Normal"/>
        <w:spacing w:before="120" w:after="120"/>
        <w:ind w:left="360" w:hanging="0"/>
        <w:jc w:val="both"/>
        <w:rPr>
          <w:rFonts w:ascii="Times New Roman" w:hAnsi="Times New Roman" w:cs="Times New Roman"/>
          <w:color w:val="000000" w:themeColor="text1"/>
          <w:lang w:eastAsia="pt-BR"/>
        </w:rPr>
      </w:pPr>
      <w:r>
        <w:rPr>
          <w:rFonts w:cs="Times New Roman" w:ascii="Times New Roman" w:hAnsi="Times New Roman"/>
          <w:color w:val="000000" w:themeColor="text1"/>
          <w:lang w:eastAsia="pt-BR"/>
        </w:rPr>
      </w:r>
    </w:p>
    <w:p>
      <w:pPr>
        <w:pStyle w:val="ListParagraph"/>
        <w:numPr>
          <w:ilvl w:val="0"/>
          <w:numId w:val="3"/>
        </w:numPr>
        <w:spacing w:lineRule="auto" w:line="360" w:before="0" w:after="0"/>
        <w:jc w:val="both"/>
        <w:rPr>
          <w:rFonts w:ascii="Times New Roman" w:hAnsi="Times New Roman" w:cs="Times New Roman"/>
          <w:b/>
          <w:b/>
        </w:rPr>
      </w:pPr>
      <w:r>
        <w:rPr>
          <w:rFonts w:cs="Times New Roman" w:ascii="Times New Roman" w:hAnsi="Times New Roman"/>
          <w:b/>
        </w:rPr>
        <w:t>CLÁUSULA DECIMA SEGUNDA</w:t>
      </w:r>
      <w:r>
        <w:rPr>
          <w:rFonts w:cs="Times New Roman" w:ascii="Times New Roman" w:hAnsi="Times New Roman"/>
        </w:rPr>
        <w:t xml:space="preserve">: </w:t>
      </w:r>
      <w:r>
        <w:rPr>
          <w:rFonts w:cs="Times New Roman" w:ascii="Times New Roman" w:hAnsi="Times New Roman"/>
          <w:b/>
        </w:rPr>
        <w:t>DAS ALTERAÇÕES</w:t>
      </w:r>
    </w:p>
    <w:p>
      <w:pPr>
        <w:pStyle w:val="ListParagraph"/>
        <w:numPr>
          <w:ilvl w:val="1"/>
          <w:numId w:val="3"/>
        </w:numPr>
        <w:tabs>
          <w:tab w:val="left" w:pos="567" w:leader="none"/>
        </w:tabs>
        <w:spacing w:lineRule="auto" w:line="360" w:before="0" w:afterAutospacing="1"/>
        <w:jc w:val="both"/>
        <w:rPr>
          <w:rFonts w:ascii="Times New Roman" w:hAnsi="Times New Roman" w:cs="Times New Roman"/>
        </w:rPr>
      </w:pPr>
      <w:r>
        <w:rPr>
          <w:rFonts w:cs="Times New Roman" w:ascii="Times New Roman" w:hAnsi="Times New Roman"/>
        </w:rPr>
        <w:t xml:space="preserve">O contrato poderá ser alterado nos termos do artigo 65 da Lei n° 8.666/1993. </w:t>
      </w:r>
    </w:p>
    <w:p>
      <w:pPr>
        <w:pStyle w:val="Standard"/>
        <w:widowControl w:val="false"/>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CLÁUSULA DÉCIMA TERCEIRA: DAS SANÇÕES ADMINISTRATIVAS</w:t>
      </w:r>
    </w:p>
    <w:p>
      <w:pPr>
        <w:pStyle w:val="Nivel2"/>
        <w:numPr>
          <w:ilvl w:val="1"/>
          <w:numId w:val="3"/>
        </w:numPr>
        <w:rPr>
          <w:rFonts w:ascii="Times New Roman" w:hAnsi="Times New Roman"/>
          <w:szCs w:val="22"/>
        </w:rPr>
      </w:pPr>
      <w:r>
        <w:rPr>
          <w:rFonts w:ascii="Times New Roman" w:hAnsi="Times New Roman"/>
          <w:szCs w:val="22"/>
        </w:rPr>
        <w:t>Comete infração administrativa nos termos da Lei nº 8.666, de 1993 a Contratada que inexecutar total ou parcialmente qualquer das obrigações assumidas em decorrência da contratação; ensejar o retardamento da execução do objeto; fraudar na execução do contrato; comportar-se de modo inidôneo; cometer fraude fiscal; ou não mantiver a proposta;</w:t>
      </w:r>
    </w:p>
    <w:p>
      <w:pPr>
        <w:pStyle w:val="Nivel2"/>
        <w:numPr>
          <w:ilvl w:val="1"/>
          <w:numId w:val="3"/>
        </w:numPr>
        <w:rPr>
          <w:rFonts w:ascii="Times New Roman" w:hAnsi="Times New Roman"/>
          <w:color w:val="000000"/>
          <w:szCs w:val="22"/>
        </w:rPr>
      </w:pPr>
      <w:r>
        <w:rPr>
          <w:rFonts w:ascii="Times New Roman" w:hAnsi="Times New Roman"/>
          <w:szCs w:val="22"/>
          <w:shd w:fill="FFFFFF" w:val="clear"/>
        </w:rPr>
        <w:t>A Contratada que cometer qualquer das infrações acima discriminadas ficará sujeita, sem prejuízo da responsabilidade civil e criminal, às seguintes sanções:</w:t>
      </w:r>
    </w:p>
    <w:p>
      <w:pPr>
        <w:pStyle w:val="Nivel3"/>
        <w:numPr>
          <w:ilvl w:val="2"/>
          <w:numId w:val="3"/>
        </w:numPr>
        <w:rPr>
          <w:rFonts w:ascii="Times New Roman" w:hAnsi="Times New Roman" w:cs="Times New Roman"/>
          <w:szCs w:val="22"/>
        </w:rPr>
      </w:pPr>
      <w:r>
        <w:rPr>
          <w:rFonts w:cs="Times New Roman" w:ascii="Times New Roman" w:hAnsi="Times New Roman"/>
          <w:szCs w:val="22"/>
        </w:rPr>
        <w:t>advertência por faltas leves, assim entendidas aquelas que não acarretem prejuízos significativos para a Contratante;</w:t>
      </w:r>
    </w:p>
    <w:p>
      <w:pPr>
        <w:pStyle w:val="Nivel3"/>
        <w:numPr>
          <w:ilvl w:val="2"/>
          <w:numId w:val="3"/>
        </w:numPr>
        <w:rPr>
          <w:rFonts w:ascii="Times New Roman" w:hAnsi="Times New Roman" w:cs="Times New Roman"/>
          <w:color w:val="00000A"/>
          <w:szCs w:val="22"/>
        </w:rPr>
      </w:pPr>
      <w:r>
        <w:rPr>
          <w:rFonts w:cs="Times New Roman" w:ascii="Times New Roman" w:hAnsi="Times New Roman"/>
          <w:szCs w:val="22"/>
        </w:rPr>
        <w:t>multa moratória de até 0,</w:t>
      </w:r>
      <w:r>
        <w:rPr>
          <w:rFonts w:cs="Times New Roman" w:ascii="Times New Roman" w:hAnsi="Times New Roman"/>
          <w:color w:val="00000A"/>
          <w:szCs w:val="22"/>
        </w:rPr>
        <w:t>33 % (zero virgula trinta e três  por cento) por dia de atraso injustificado sobre o valor da parcela inadimplida, até o limite de 30 (trinta) dias;</w:t>
      </w:r>
    </w:p>
    <w:p>
      <w:pPr>
        <w:pStyle w:val="Nivel3"/>
        <w:numPr>
          <w:ilvl w:val="2"/>
          <w:numId w:val="3"/>
        </w:numPr>
        <w:rPr>
          <w:rFonts w:ascii="Times New Roman" w:hAnsi="Times New Roman" w:cs="Times New Roman"/>
          <w:szCs w:val="22"/>
        </w:rPr>
      </w:pPr>
      <w:r>
        <w:rPr>
          <w:rFonts w:cs="Times New Roman" w:ascii="Times New Roman" w:hAnsi="Times New Roman"/>
          <w:color w:val="00000A"/>
          <w:szCs w:val="22"/>
        </w:rPr>
        <w:t>multa compensatória de até 10 % (dez por cento</w:t>
      </w:r>
      <w:r>
        <w:rPr>
          <w:rFonts w:cs="Times New Roman" w:ascii="Times New Roman" w:hAnsi="Times New Roman"/>
          <w:color w:val="FF0000"/>
          <w:szCs w:val="22"/>
        </w:rPr>
        <w:t>)</w:t>
      </w:r>
      <w:r>
        <w:rPr>
          <w:rFonts w:cs="Times New Roman" w:ascii="Times New Roman" w:hAnsi="Times New Roman"/>
          <w:szCs w:val="22"/>
        </w:rPr>
        <w:t xml:space="preserve"> sobre o valor total do contrato, no caso de inexecução total do objeto;</w:t>
      </w:r>
    </w:p>
    <w:p>
      <w:pPr>
        <w:pStyle w:val="Nivel4"/>
        <w:numPr>
          <w:ilvl w:val="3"/>
          <w:numId w:val="3"/>
        </w:numPr>
        <w:rPr>
          <w:rFonts w:ascii="Times New Roman" w:hAnsi="Times New Roman" w:cs="Times New Roman"/>
          <w:szCs w:val="22"/>
        </w:rPr>
      </w:pPr>
      <w:r>
        <w:rPr>
          <w:rFonts w:cs="Times New Roman" w:ascii="Times New Roman" w:hAnsi="Times New Roman"/>
          <w:szCs w:val="22"/>
        </w:rPr>
        <w:t>em caso de inexecução parcial, a multa compensatória, no mesmo percentual do subitem acima, será aplicada de forma proporcional à obrigação inadimplida;</w:t>
      </w:r>
    </w:p>
    <w:p>
      <w:pPr>
        <w:pStyle w:val="Nivel3"/>
        <w:numPr>
          <w:ilvl w:val="2"/>
          <w:numId w:val="3"/>
        </w:numPr>
        <w:rPr>
          <w:rFonts w:ascii="Times New Roman" w:hAnsi="Times New Roman" w:cs="Times New Roman"/>
          <w:szCs w:val="22"/>
        </w:rPr>
      </w:pPr>
      <w:r>
        <w:rPr>
          <w:rFonts w:cs="Times New Roman" w:ascii="Times New Roman" w:hAnsi="Times New Roman"/>
          <w:szCs w:val="22"/>
        </w:rPr>
        <w:t>suspensão de licitar e impedimento de contratar com o órgão, entidade ou unidade administrativa pela qual a Administração Pública opera e atua concretamente, pelo prazo de até dois anos;</w:t>
      </w:r>
    </w:p>
    <w:p>
      <w:pPr>
        <w:pStyle w:val="Nivel3"/>
        <w:numPr>
          <w:ilvl w:val="2"/>
          <w:numId w:val="3"/>
        </w:numPr>
        <w:rPr>
          <w:rFonts w:ascii="Times New Roman" w:hAnsi="Times New Roman" w:cs="Times New Roman"/>
          <w:szCs w:val="22"/>
        </w:rPr>
      </w:pPr>
      <w:r>
        <w:rPr>
          <w:rFonts w:cs="Times New Roman" w:ascii="Times New Roman" w:hAnsi="Times New Roman"/>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p>
    <w:p>
      <w:pPr>
        <w:pStyle w:val="Nivel2"/>
        <w:numPr>
          <w:ilvl w:val="1"/>
          <w:numId w:val="3"/>
        </w:numPr>
        <w:rPr>
          <w:rFonts w:ascii="Times New Roman" w:hAnsi="Times New Roman"/>
          <w:szCs w:val="22"/>
        </w:rPr>
      </w:pPr>
      <w:r>
        <w:rPr>
          <w:rFonts w:ascii="Times New Roman" w:hAnsi="Times New Roman"/>
          <w:szCs w:val="22"/>
        </w:rPr>
        <w:t>A aplicação de multa não impede que a Administração rescinda unilateralmente o Contrato e aplique as outras sanções cabíveis.</w:t>
      </w:r>
    </w:p>
    <w:p>
      <w:pPr>
        <w:pStyle w:val="Nivel2"/>
        <w:numPr>
          <w:ilvl w:val="1"/>
          <w:numId w:val="3"/>
        </w:numPr>
        <w:rPr>
          <w:rFonts w:ascii="Times New Roman" w:hAnsi="Times New Roman"/>
          <w:szCs w:val="22"/>
        </w:rPr>
      </w:pPr>
      <w:r>
        <w:rPr>
          <w:rFonts w:ascii="Times New Roman" w:hAnsi="Times New Roman"/>
          <w:szCs w:val="22"/>
        </w:rPr>
        <w:t>A recusa injustificada da Adjudicatária em assinar o Contrato, após devidamente convocada, dentro do prazo estabelecido pela Administração, equivale à inexecução total do contrato, sujeitando-a às penalidades acima estabelecidas.</w:t>
      </w:r>
    </w:p>
    <w:p>
      <w:pPr>
        <w:pStyle w:val="Nivel2"/>
        <w:numPr>
          <w:ilvl w:val="1"/>
          <w:numId w:val="3"/>
        </w:numPr>
        <w:rPr>
          <w:rFonts w:ascii="Times New Roman" w:hAnsi="Times New Roman"/>
          <w:szCs w:val="22"/>
        </w:rPr>
      </w:pPr>
      <w:r>
        <w:rPr>
          <w:rFonts w:ascii="Times New Roman" w:hAnsi="Times New Roman"/>
          <w:szCs w:val="22"/>
        </w:rPr>
        <w:t>A aplicação de qualquer penalidade não exclui a aplicação da multa.</w:t>
      </w:r>
    </w:p>
    <w:p>
      <w:pPr>
        <w:pStyle w:val="Nivel2"/>
        <w:numPr>
          <w:ilvl w:val="1"/>
          <w:numId w:val="3"/>
        </w:numPr>
        <w:rPr>
          <w:rFonts w:ascii="Times New Roman" w:hAnsi="Times New Roman"/>
          <w:szCs w:val="22"/>
        </w:rPr>
      </w:pPr>
      <w:r>
        <w:rPr>
          <w:rFonts w:ascii="Times New Roman" w:hAnsi="Times New Roman"/>
          <w:szCs w:val="22"/>
        </w:rPr>
        <w:t>Também fica sujeita às penalidades do art. 87, III e IV da Lei nº 8.666, de 1993, a Contratada que:</w:t>
      </w:r>
    </w:p>
    <w:p>
      <w:pPr>
        <w:pStyle w:val="Nivel3"/>
        <w:numPr>
          <w:ilvl w:val="2"/>
          <w:numId w:val="3"/>
        </w:numPr>
        <w:rPr>
          <w:rFonts w:ascii="Times New Roman" w:hAnsi="Times New Roman" w:cs="Times New Roman"/>
          <w:szCs w:val="22"/>
        </w:rPr>
      </w:pPr>
      <w:r>
        <w:rPr>
          <w:rFonts w:cs="Times New Roman" w:ascii="Times New Roman" w:hAnsi="Times New Roman"/>
          <w:szCs w:val="22"/>
        </w:rPr>
        <w:t>tenha sofrido condenação definitiva por praticar, por meio dolosos, fraude fiscal no recolhimento de quaisquer tributos;</w:t>
      </w:r>
    </w:p>
    <w:p>
      <w:pPr>
        <w:pStyle w:val="Nivel3"/>
        <w:numPr>
          <w:ilvl w:val="2"/>
          <w:numId w:val="3"/>
        </w:numPr>
        <w:rPr>
          <w:rFonts w:ascii="Times New Roman" w:hAnsi="Times New Roman" w:cs="Times New Roman"/>
          <w:szCs w:val="22"/>
        </w:rPr>
      </w:pPr>
      <w:r>
        <w:rPr>
          <w:rFonts w:cs="Times New Roman" w:ascii="Times New Roman" w:hAnsi="Times New Roman"/>
          <w:szCs w:val="22"/>
        </w:rPr>
        <w:t>tenha praticado atos ilícitos visando a frustrar os objetivos da licitação;</w:t>
      </w:r>
    </w:p>
    <w:p>
      <w:pPr>
        <w:pStyle w:val="Nivel3"/>
        <w:numPr>
          <w:ilvl w:val="2"/>
          <w:numId w:val="3"/>
        </w:numPr>
        <w:rPr>
          <w:rFonts w:ascii="Times New Roman" w:hAnsi="Times New Roman" w:cs="Times New Roman"/>
          <w:szCs w:val="22"/>
        </w:rPr>
      </w:pPr>
      <w:r>
        <w:rPr>
          <w:rFonts w:cs="Times New Roman" w:ascii="Times New Roman" w:hAnsi="Times New Roman"/>
          <w:szCs w:val="22"/>
        </w:rPr>
        <w:t>demonstre não possuir idoneidade para contratar com a Administração em virtude de atos ilícitos praticados.</w:t>
      </w:r>
    </w:p>
    <w:p>
      <w:pPr>
        <w:pStyle w:val="Nivel2"/>
        <w:numPr>
          <w:ilvl w:val="1"/>
          <w:numId w:val="3"/>
        </w:numPr>
        <w:rPr>
          <w:rFonts w:ascii="Times New Roman" w:hAnsi="Times New Roman"/>
          <w:szCs w:val="22"/>
        </w:rPr>
      </w:pPr>
      <w:r>
        <w:rPr>
          <w:rFonts w:ascii="Times New Roman" w:hAnsi="Times New Roman"/>
          <w:szCs w:val="22"/>
        </w:rPr>
        <w:t>A aplicação de qualquer das penalidades previstas realizar-se-á em processo administrativo que assegurará o contraditório e a ampla defesa observando-se o procedimento previsto na Lei nº 8.666, de 1993, e subsidiariamente na Lei nº 9.784, de 1999.</w:t>
      </w:r>
    </w:p>
    <w:p>
      <w:pPr>
        <w:pStyle w:val="Nivel2"/>
        <w:numPr>
          <w:ilvl w:val="1"/>
          <w:numId w:val="3"/>
        </w:numPr>
        <w:rPr>
          <w:rFonts w:ascii="Times New Roman" w:hAnsi="Times New Roman"/>
          <w:szCs w:val="22"/>
        </w:rPr>
      </w:pPr>
      <w:r>
        <w:rPr>
          <w:rFonts w:ascii="Times New Roman" w:hAnsi="Times New Roman"/>
          <w:szCs w:val="22"/>
        </w:rPr>
        <w:t>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1"/>
          <w:numId w:val="3"/>
        </w:numPr>
        <w:rPr>
          <w:rFonts w:ascii="Times New Roman" w:hAnsi="Times New Roman"/>
          <w:szCs w:val="22"/>
        </w:rPr>
      </w:pPr>
      <w:r>
        <w:rPr>
          <w:rFonts w:ascii="Times New Roman" w:hAnsi="Times New Roman"/>
          <w:szCs w:val="22"/>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ivel3"/>
        <w:numPr>
          <w:ilvl w:val="2"/>
          <w:numId w:val="3"/>
        </w:numPr>
        <w:rPr>
          <w:rFonts w:ascii="Times New Roman" w:hAnsi="Times New Roman" w:cs="Times New Roman"/>
          <w:szCs w:val="22"/>
        </w:rPr>
      </w:pPr>
      <w:r>
        <w:rPr>
          <w:rFonts w:cs="Times New Roman" w:ascii="Times New Roman" w:hAnsi="Times New Roman"/>
          <w:color w:val="00000A"/>
          <w:szCs w:val="22"/>
        </w:rPr>
        <w:t>Caso a Contratante determine, a multa deverá ser recolhida no prazo máximo de 15 (quinze) dias, a contar da data do recebimento da comunicação enviada pela autoridade competente</w:t>
      </w:r>
      <w:r>
        <w:rPr>
          <w:rFonts w:cs="Times New Roman" w:ascii="Times New Roman" w:hAnsi="Times New Roman"/>
          <w:szCs w:val="22"/>
        </w:rPr>
        <w:t>.</w:t>
      </w:r>
    </w:p>
    <w:p>
      <w:pPr>
        <w:pStyle w:val="Nivel2"/>
        <w:numPr>
          <w:ilvl w:val="1"/>
          <w:numId w:val="3"/>
        </w:numPr>
        <w:rPr>
          <w:rFonts w:ascii="Times New Roman" w:hAnsi="Times New Roman"/>
          <w:szCs w:val="22"/>
        </w:rPr>
      </w:pPr>
      <w:r>
        <w:rPr>
          <w:rFonts w:ascii="Times New Roman" w:hAnsi="Times New Roman"/>
          <w:szCs w:val="22"/>
        </w:rPr>
        <w:t>As penalidades serão obrigatoriamente registradas no SICAF.</w:t>
      </w:r>
    </w:p>
    <w:p>
      <w:pPr>
        <w:pStyle w:val="Corpodetexto"/>
        <w:numPr>
          <w:ilvl w:val="1"/>
          <w:numId w:val="3"/>
        </w:numPr>
        <w:spacing w:lineRule="auto" w:line="276" w:before="120" w:after="200"/>
        <w:jc w:val="both"/>
        <w:rPr>
          <w:sz w:val="22"/>
          <w:szCs w:val="22"/>
        </w:rPr>
      </w:pPr>
      <w:r>
        <w:rPr>
          <w:sz w:val="22"/>
          <w:szCs w:val="22"/>
        </w:rPr>
        <w:t>As sanções aqui previstas são independentes entre si, podendo ser aplicadas isoladas ou, no caso das multas, cumulativamente, sem prejuízo de outras medidas cabíveis</w:t>
      </w:r>
    </w:p>
    <w:p>
      <w:pPr>
        <w:pStyle w:val="Standard"/>
        <w:widowControl w:val="false"/>
        <w:spacing w:lineRule="auto" w:line="360"/>
        <w:ind w:left="360"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cs="Times New Roman" w:ascii="Times New Roman" w:hAnsi="Times New Roman"/>
          <w:b/>
        </w:rPr>
        <w:t>CLÁUSULA DECIMA QUARTA: DA RESCISÃO</w:t>
      </w:r>
    </w:p>
    <w:p>
      <w:pPr>
        <w:pStyle w:val="ListParagraph"/>
        <w:numPr>
          <w:ilvl w:val="1"/>
          <w:numId w:val="3"/>
        </w:numPr>
        <w:tabs>
          <w:tab w:val="left" w:pos="567" w:leader="none"/>
        </w:tabs>
        <w:spacing w:lineRule="auto" w:line="360" w:before="0" w:after="0"/>
        <w:jc w:val="both"/>
        <w:rPr>
          <w:rFonts w:ascii="Times New Roman" w:hAnsi="Times New Roman" w:cs="Times New Roman"/>
        </w:rPr>
      </w:pPr>
      <w:r>
        <w:rPr>
          <w:rFonts w:cs="Times New Roman" w:ascii="Times New Roman" w:hAnsi="Times New Roman"/>
        </w:rPr>
        <w:t xml:space="preserve">O presente Termo de Contrato poderá ser rescindido nas hipóteses previstas no art. 78 da Lei nº 8.666, de 1993, com as consequências indicadas no art. 80 da mesma Lei, sem prejuízo da aplicação das sanções previstas no Termo de Referência, anexo do Edital. </w:t>
      </w:r>
    </w:p>
    <w:p>
      <w:pPr>
        <w:pStyle w:val="ListParagraph"/>
        <w:numPr>
          <w:ilvl w:val="1"/>
          <w:numId w:val="3"/>
        </w:numPr>
        <w:tabs>
          <w:tab w:val="left" w:pos="567" w:leader="none"/>
        </w:tabs>
        <w:spacing w:lineRule="auto" w:line="360" w:before="0" w:after="0"/>
        <w:jc w:val="both"/>
        <w:rPr>
          <w:rFonts w:ascii="Times New Roman" w:hAnsi="Times New Roman" w:cs="Times New Roman"/>
        </w:rPr>
      </w:pPr>
      <w:r>
        <w:rPr>
          <w:rFonts w:cs="Times New Roman" w:ascii="Times New Roman" w:hAnsi="Times New Roman"/>
        </w:rPr>
        <w:t xml:space="preserve">Os casos de rescisão contratual serão formalmente motivados, assegurando-se à CONTRATADA o direito à prévia e ampla defesa. </w:t>
      </w:r>
    </w:p>
    <w:p>
      <w:pPr>
        <w:pStyle w:val="ListParagraph"/>
        <w:numPr>
          <w:ilvl w:val="1"/>
          <w:numId w:val="3"/>
        </w:numPr>
        <w:tabs>
          <w:tab w:val="left" w:pos="567" w:leader="none"/>
        </w:tabs>
        <w:spacing w:lineRule="auto" w:line="360" w:before="0" w:after="0"/>
        <w:jc w:val="both"/>
        <w:rPr>
          <w:rFonts w:ascii="Times New Roman" w:hAnsi="Times New Roman" w:cs="Times New Roman"/>
        </w:rPr>
      </w:pPr>
      <w:r>
        <w:rPr>
          <w:rFonts w:cs="Times New Roman" w:ascii="Times New Roman" w:hAnsi="Times New Roman"/>
        </w:rPr>
        <w:t xml:space="preserve">A CONTRATADA reconhece os direitos da CONTRATANTE em caso de rescisão administrativa prevista no art. 77 da Lei nº 8.666, de 1993. </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O termo de rescisão, sempre que possível, será precedido: </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Balanço dos eventos contratuais já cumpridos ou parcialmente cumpridos; </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Relação dos pagamentos já efetuados e ainda devidos; </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Indenizações e multas.</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Este Contrato, desde que observada à formalização preliminar à sua efetivação, por carta, consoante ao parágrafo anterior, poderá ser rescindido, de pleno direito, independentemente de notificação ou interpelação judicial ou extrajudicial, nos seguintes casos:</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Por acordo entre as partes;</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Pela inobservância de qualquer de suas condições;</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Por quaisquer dos motivos previstos em lei.</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Sempre que o CONTRATANTE alterar ou rescindir o contrato sem estar caracterizada culpa do CONTRATADO, deverá respeitar o equilíbrio econômico-financeiro, garantindo-lhe o aumento da remuneração respectiva ou a indenização por despesas já realizadas.</w:t>
      </w:r>
    </w:p>
    <w:p>
      <w:pPr>
        <w:pStyle w:val="Standard"/>
        <w:widowControl w:val="false"/>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CLÁUSULA DECIMA QUINTA: CASOS OMISSOS</w:t>
      </w:r>
    </w:p>
    <w:p>
      <w:pPr>
        <w:pStyle w:val="Standard"/>
        <w:widowControl w:val="false"/>
        <w:numPr>
          <w:ilvl w:val="1"/>
          <w:numId w:val="3"/>
        </w:numPr>
        <w:spacing w:lineRule="auto" w:line="360"/>
        <w:jc w:val="both"/>
        <w:rPr>
          <w:rFonts w:ascii="Times New Roman" w:hAnsi="Times New Roman" w:eastAsia="Calibri" w:cs="Times New Roman" w:eastAsiaTheme="minorHAnsi"/>
          <w:sz w:val="22"/>
          <w:szCs w:val="22"/>
          <w:lang w:eastAsia="en-US"/>
        </w:rPr>
      </w:pPr>
      <w:r>
        <w:rPr>
          <w:rFonts w:eastAsia="Calibri" w:cs="Times New Roman" w:ascii="Times New Roman" w:hAnsi="Times New Roman" w:eastAsiaTheme="minorHAnsi"/>
          <w:sz w:val="22"/>
          <w:szCs w:val="22"/>
          <w:lang w:eastAsia="en-US"/>
        </w:rPr>
        <w:t>Os casos omissos serão decididos pela CONTRATANTE, segundo as disposições contidas na lei n° 8.666 de 1993 e demais normas federais de licitações e contratos administrativos e, subsidiariamente, segundo as disposições contidas no Código de Defesa do Consumidor e Código Civil e demais normas e princípios gerais de contratos.</w:t>
      </w:r>
    </w:p>
    <w:p>
      <w:pPr>
        <w:pStyle w:val="Standard"/>
        <w:widowControl w:val="false"/>
        <w:spacing w:lineRule="auto" w:line="360"/>
        <w:jc w:val="both"/>
        <w:rPr>
          <w:rFonts w:ascii="Times New Roman" w:hAnsi="Times New Roman" w:eastAsia="Calibri" w:cs="Times New Roman" w:eastAsiaTheme="minorHAnsi"/>
          <w:sz w:val="22"/>
          <w:szCs w:val="22"/>
          <w:lang w:eastAsia="en-US"/>
        </w:rPr>
      </w:pPr>
      <w:r>
        <w:rPr>
          <w:rFonts w:eastAsia="Calibri" w:cs="Times New Roman" w:eastAsiaTheme="minorHAnsi" w:ascii="Times New Roman" w:hAnsi="Times New Roman"/>
          <w:sz w:val="22"/>
          <w:szCs w:val="22"/>
          <w:lang w:eastAsia="en-US"/>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DÉCIMA SEXTA: PUBLICAÇÃO</w:t>
      </w:r>
    </w:p>
    <w:p>
      <w:pPr>
        <w:pStyle w:val="Normal"/>
        <w:numPr>
          <w:ilvl w:val="1"/>
          <w:numId w:val="3"/>
        </w:numPr>
        <w:spacing w:before="120" w:after="120"/>
        <w:jc w:val="both"/>
        <w:rPr>
          <w:rFonts w:ascii="Times New Roman" w:hAnsi="Times New Roman" w:cs="Times New Roman"/>
        </w:rPr>
      </w:pPr>
      <w:r>
        <w:rPr>
          <w:rFonts w:cs="Times New Roman" w:ascii="Times New Roman" w:hAnsi="Times New Roman"/>
        </w:rPr>
        <w:t>Incumbirá à CONTRATANTE providenciar a publicação deste instrumento, por extrato, no Diário Oficial da União, no prazo previsto na Lei nº 8.666, de 1993.</w:t>
      </w:r>
    </w:p>
    <w:p>
      <w:pPr>
        <w:pStyle w:val="Normal"/>
        <w:spacing w:before="120" w:after="120"/>
        <w:ind w:left="360" w:hanging="0"/>
        <w:jc w:val="both"/>
        <w:rPr>
          <w:rFonts w:ascii="Times New Roman" w:hAnsi="Times New Roman" w:cs="Times New Roman"/>
        </w:rPr>
      </w:pPr>
      <w:r>
        <w:rPr>
          <w:rFonts w:cs="Times New Roman" w:ascii="Times New Roman" w:hAnsi="Times New Roman"/>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DÉCIMA SETIMA: DISPOSIÇÕES GERAIS</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O CONTRATANTE em razão da supremacia do interesse público sobre os interesses particulares poderá:</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Modificar unilateralmente o contrato para melhor adequação às finalidades de interesse público, respeitando os direitos do CONTRATADO;</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Rescindir unilateralmente o contrato, nos casos de infração contratual ou inaptidão do CONTRATADO;</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Fiscalizar a execução do contrato;</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Aplicar sanções motivadas pela inexecução total ou parcial do ajuste;</w:t>
      </w:r>
    </w:p>
    <w:p>
      <w:pPr>
        <w:pStyle w:val="Standard"/>
        <w:widowControl w:val="false"/>
        <w:spacing w:lineRule="auto" w:line="360"/>
        <w:ind w:left="720"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 xml:space="preserve">CLÁUSULA DÉCIMA OITAVA: DO FORO </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É competente o Foro da Comarca de Santa Maria da Seção Judiciária- Justiça Federal, para dirimir qualquer controvérsia que se originar deste contrato.</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E, por estarem assim, justos e contratados, assinam o presente instrumento em duas vias de igual teor e forma, na presença de duas testemunhas.</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right"/>
        <w:rPr>
          <w:rFonts w:ascii="Times New Roman" w:hAnsi="Times New Roman" w:eastAsia="Times New Roman" w:cs="Times New Roman"/>
          <w:lang w:eastAsia="pt-BR"/>
        </w:rPr>
      </w:pPr>
      <w:r>
        <w:rPr>
          <w:rFonts w:eastAsia="Times New Roman" w:cs="Times New Roman" w:ascii="Times New Roman" w:hAnsi="Times New Roman"/>
          <w:lang w:eastAsia="pt-BR"/>
        </w:rPr>
        <w:t>______________(Panambi), ____de________ de ________.</w:t>
      </w:r>
    </w:p>
    <w:p>
      <w:pPr>
        <w:pStyle w:val="Normal"/>
        <w:spacing w:lineRule="auto" w:line="360" w:before="0" w:after="0"/>
        <w:jc w:val="right"/>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________________________________</w:t>
        <w:br/>
        <w:t xml:space="preserve">CONTRATADO(S) (Individual ou Grupo Informal) </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CPF:</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_____________________________________________</w:t>
        <w:br/>
        <w:t>CONTRATADA (Grupo Formal)</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 </w:t>
      </w:r>
      <w:r>
        <w:rPr>
          <w:rFonts w:eastAsia="Times New Roman" w:cs="Times New Roman" w:ascii="Times New Roman" w:hAnsi="Times New Roman"/>
          <w:lang w:eastAsia="pt-BR"/>
        </w:rPr>
        <w:t>CPF/CNPJ</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______________________________________________</w:t>
        <w:br/>
        <w:t>DIRETOR(A) GERAL:</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TESTEMUNHA1. ____________________________</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CPF</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TESTEMUNHA2. _________________________</w:t>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t>CPF</w:t>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ANEXO III</w:t>
      </w:r>
    </w:p>
    <w:p>
      <w:pPr>
        <w:pStyle w:val="Normal"/>
        <w:spacing w:lineRule="auto" w:line="360" w:before="0" w:after="0"/>
        <w:jc w:val="center"/>
        <w:rPr/>
      </w:pPr>
      <w:r>
        <w:rPr>
          <w:rFonts w:eastAsia="Times New Roman" w:cs="Times New Roman" w:ascii="Times New Roman" w:hAnsi="Times New Roman"/>
          <w:b/>
          <w:lang w:eastAsia="pt-BR"/>
        </w:rPr>
        <w:t>PROCESSO Nº 23240.000390/2019-17</w:t>
      </w:r>
    </w:p>
    <w:p>
      <w:pPr>
        <w:pStyle w:val="Normal"/>
        <w:spacing w:lineRule="auto" w:line="360" w:before="0" w:after="0"/>
        <w:jc w:val="center"/>
        <w:rPr/>
      </w:pPr>
      <w:r>
        <w:rPr>
          <w:rFonts w:eastAsia="Times New Roman" w:cs="Times New Roman" w:ascii="Times New Roman" w:hAnsi="Times New Roman"/>
          <w:b/>
          <w:lang w:eastAsia="pt-BR"/>
        </w:rPr>
        <w:t>CHAMADA PUBLICA Nº 01/2019</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b/>
          <w:lang w:eastAsia="pt-BR"/>
        </w:rPr>
        <w:t>PROJETO DE VENDA</w:t>
        <w:br/>
        <w:t>PARA OS FORNECEDORES INDIVIDUAIS</w:t>
      </w:r>
      <w:r>
        <w:rPr>
          <w:rFonts w:eastAsia="Times New Roman" w:cs="Times New Roman" w:ascii="Times New Roman" w:hAnsi="Times New Roman"/>
          <w:lang w:eastAsia="pt-BR"/>
        </w:rPr>
        <w:br/>
      </w:r>
    </w:p>
    <w:tbl>
      <w:tblPr>
        <w:tblW w:w="1027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467"/>
        <w:gridCol w:w="1321"/>
        <w:gridCol w:w="1485"/>
        <w:gridCol w:w="1489"/>
        <w:gridCol w:w="1480"/>
        <w:gridCol w:w="731"/>
        <w:gridCol w:w="2301"/>
      </w:tblGrid>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PROJETO DE VENDA DE GÊNEROS ALIMENTÍCIOS DA AGRICULTURA FAMILIAR PARA ALIMENTAÇÃO ESCOLAR/PNAE</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IDENTIFICAÇÃO DA PROPOSTA DE ATENDIMENTO AO EDITAL/CHAMADA PÚBLICA Nº 01/2018</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 IDENTIFICAÇÃO DO FORNECEDOR</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FORNECEDOR (A) INDIVIDUAL</w:t>
            </w:r>
          </w:p>
        </w:tc>
      </w:tr>
      <w:tr>
        <w:trPr/>
        <w:tc>
          <w:tcPr>
            <w:tcW w:w="576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Proponente:</w:t>
            </w:r>
          </w:p>
        </w:tc>
        <w:tc>
          <w:tcPr>
            <w:tcW w:w="4512"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CPF:</w:t>
            </w:r>
          </w:p>
        </w:tc>
      </w:tr>
      <w:tr>
        <w:trPr/>
        <w:tc>
          <w:tcPr>
            <w:tcW w:w="427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Endereço:</w:t>
            </w:r>
          </w:p>
        </w:tc>
        <w:tc>
          <w:tcPr>
            <w:tcW w:w="3700"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Município/UF:</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5.CEP:</w:t>
            </w:r>
          </w:p>
        </w:tc>
      </w:tr>
      <w:tr>
        <w:trPr/>
        <w:tc>
          <w:tcPr>
            <w:tcW w:w="427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Nº da DAP Física:</w:t>
            </w:r>
          </w:p>
        </w:tc>
        <w:tc>
          <w:tcPr>
            <w:tcW w:w="2969"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DDD/Fone:</w:t>
            </w:r>
          </w:p>
        </w:tc>
        <w:tc>
          <w:tcPr>
            <w:tcW w:w="303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8.E-mail (quando houver)</w:t>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9. Banco</w:t>
            </w:r>
          </w:p>
        </w:tc>
        <w:tc>
          <w:tcPr>
            <w:tcW w:w="4454"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10.Nº da Agência</w:t>
            </w:r>
          </w:p>
        </w:tc>
        <w:tc>
          <w:tcPr>
            <w:tcW w:w="303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11.Nº da Conta Corrente</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 Relação dos Produtos</w:t>
            </w:r>
          </w:p>
        </w:tc>
      </w:tr>
      <w:tr>
        <w:trPr/>
        <w:tc>
          <w:tcPr>
            <w:tcW w:w="2788" w:type="dxa"/>
            <w:gridSpan w:val="2"/>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Produto</w:t>
            </w:r>
          </w:p>
        </w:tc>
        <w:tc>
          <w:tcPr>
            <w:tcW w:w="1485" w:type="dxa"/>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Unidade</w:t>
            </w:r>
          </w:p>
        </w:tc>
        <w:tc>
          <w:tcPr>
            <w:tcW w:w="1489" w:type="dxa"/>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Quantidade</w:t>
            </w:r>
          </w:p>
        </w:tc>
        <w:tc>
          <w:tcPr>
            <w:tcW w:w="2211"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Preço de Aquisição</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Cronograma de Entrega dos produtos</w:t>
            </w:r>
          </w:p>
        </w:tc>
      </w:tr>
      <w:tr>
        <w:trPr/>
        <w:tc>
          <w:tcPr>
            <w:tcW w:w="2788" w:type="dxa"/>
            <w:gridSpan w:val="2"/>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85"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89"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Unitário</w:t>
            </w:r>
          </w:p>
        </w:tc>
        <w:tc>
          <w:tcPr>
            <w:tcW w:w="73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73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73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pPr>
            <w:r>
              <w:rPr>
                <w:rFonts w:eastAsia="Times New Roman" w:cs="Times New Roman" w:ascii="Times New Roman" w:hAnsi="Times New Roman"/>
                <w:lang w:eastAsia="pt-BR"/>
              </w:rPr>
              <w:t>OBS: Preço publicado no Edital n° 01/2019 (o mesmo que consta na chamada pública).</w:t>
            </w:r>
          </w:p>
        </w:tc>
        <w:tc>
          <w:tcPr>
            <w:tcW w:w="7486"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III - IDENTIFICAÇÃO DA ENTIDADE EXECUTORA DO PNAE/FNDE/MEC</w:t>
            </w:r>
          </w:p>
        </w:tc>
      </w:tr>
      <w:tr>
        <w:trPr/>
        <w:tc>
          <w:tcPr>
            <w:tcW w:w="427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Nome: IF Farroupilha Campus Panambi</w:t>
            </w:r>
          </w:p>
        </w:tc>
        <w:tc>
          <w:tcPr>
            <w:tcW w:w="3700"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CNPJ: 10.662.072/0007-43</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Município/UF: Panambi RS</w:t>
            </w:r>
          </w:p>
        </w:tc>
      </w:tr>
      <w:tr>
        <w:trPr/>
        <w:tc>
          <w:tcPr>
            <w:tcW w:w="7973"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Endereço: Rua Erechim 860</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Fone: (55) 3376 8806</w:t>
            </w:r>
          </w:p>
        </w:tc>
      </w:tr>
      <w:tr>
        <w:trPr/>
        <w:tc>
          <w:tcPr>
            <w:tcW w:w="7242"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Nome do Representante Legal:</w:t>
            </w:r>
          </w:p>
        </w:tc>
        <w:tc>
          <w:tcPr>
            <w:tcW w:w="303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CPF:</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Declaro estar de acordo com as condições estabelecidas neste projeto e que as informações acima conferem com as condições de fornecimento.</w:t>
            </w:r>
          </w:p>
        </w:tc>
      </w:tr>
      <w:tr>
        <w:trPr/>
        <w:tc>
          <w:tcPr>
            <w:tcW w:w="146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2806"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 do Fornecedor Individual</w:t>
            </w:r>
          </w:p>
        </w:tc>
        <w:tc>
          <w:tcPr>
            <w:tcW w:w="6001"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CPF:</w:t>
            </w:r>
          </w:p>
        </w:tc>
      </w:tr>
    </w:tbl>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ANEXO IV</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pPr>
      <w:r>
        <w:rPr>
          <w:rFonts w:eastAsia="Times New Roman" w:cs="Times New Roman" w:ascii="Times New Roman" w:hAnsi="Times New Roman"/>
          <w:b/>
          <w:lang w:eastAsia="pt-BR"/>
        </w:rPr>
        <w:t>PROCESSO Nº 23240.000390/2019-17</w:t>
      </w:r>
    </w:p>
    <w:p>
      <w:pPr>
        <w:pStyle w:val="Normal"/>
        <w:spacing w:lineRule="auto" w:line="360" w:before="0" w:after="0"/>
        <w:jc w:val="center"/>
        <w:rPr/>
      </w:pPr>
      <w:r>
        <w:rPr>
          <w:rFonts w:eastAsia="Times New Roman" w:cs="Times New Roman" w:ascii="Times New Roman" w:hAnsi="Times New Roman"/>
          <w:b/>
          <w:lang w:eastAsia="pt-BR"/>
        </w:rPr>
        <w:t>CHAMADA PUBLICA Nº 01/2019</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MODELO DE PROJETO DE VENDA</w:t>
        <w:br/>
        <w:t>PARA OS GRUPOS INFORMAIS</w:t>
        <w:br/>
      </w:r>
    </w:p>
    <w:tbl>
      <w:tblPr>
        <w:tblW w:w="1027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237"/>
        <w:gridCol w:w="1213"/>
        <w:gridCol w:w="1265"/>
        <w:gridCol w:w="1497"/>
        <w:gridCol w:w="1"/>
        <w:gridCol w:w="1276"/>
        <w:gridCol w:w="1194"/>
        <w:gridCol w:w="1"/>
        <w:gridCol w:w="3"/>
        <w:gridCol w:w="1001"/>
        <w:gridCol w:w="1"/>
        <w:gridCol w:w="1584"/>
      </w:tblGrid>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PROJETO DE VENDA DE GÊNEROS ALIMENTÍCIOS DA AGRICULTURA FAMILIAR PARA ALIMENTAÇÃO ESCOLAR/PNAE</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IDENTIFICAÇÃO DA PROPOSTA DE ATENDIMENTO AO EDITAL/CHAMADA PÚBLICA Nº 01/2018</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 - IDENTIFICAÇÃO DOS FORNECEDORES</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GRUPO INFORMAL</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Proponente:</w:t>
            </w:r>
          </w:p>
        </w:tc>
        <w:tc>
          <w:tcPr>
            <w:tcW w:w="5061"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CPF:</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Endereço:</w:t>
            </w:r>
          </w:p>
        </w:tc>
        <w:tc>
          <w:tcPr>
            <w:tcW w:w="3476"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Município/UF:</w:t>
            </w:r>
          </w:p>
        </w:tc>
        <w:tc>
          <w:tcPr>
            <w:tcW w:w="158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CEP:</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E-mail (quando houver):</w:t>
            </w:r>
          </w:p>
        </w:tc>
        <w:tc>
          <w:tcPr>
            <w:tcW w:w="5061"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Fone:</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8. Organizado por Entidade Articuladora</w:t>
              <w:br/>
              <w:t>( ) Sim ( ) Não</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9.Nome da Entidade Articuladora (quando houver)</w:t>
            </w:r>
          </w:p>
        </w:tc>
        <w:tc>
          <w:tcPr>
            <w:tcW w:w="259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10. E-mail/Fone</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FORNECEDORES PARTICIPANTES</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Agricultor (a) Familiar</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CPF</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DAP</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Banco</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Nº Agência</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Nº Conta Corrente</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lang w:eastAsia="pt-BR"/>
              </w:rPr>
              <w:t>III- IDENTIFICAÇÃO DA ENTIDADE EXECUTORA DO PNAE/FNDE/MEC</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color w:val="FFFFFF"/>
                <w:lang w:eastAsia="pt-BR"/>
              </w:rPr>
              <w:t> </w:t>
            </w:r>
          </w:p>
        </w:tc>
      </w:tr>
      <w:tr>
        <w:trPr/>
        <w:tc>
          <w:tcPr>
            <w:tcW w:w="371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da Entidade: IF F</w:t>
            </w:r>
            <w:r>
              <w:rPr>
                <w:rFonts w:cs="Times New Roman" w:ascii="Times New Roman" w:hAnsi="Times New Roman"/>
              </w:rPr>
              <w:t xml:space="preserve">arroupilha </w:t>
            </w:r>
            <w:r>
              <w:rPr>
                <w:rFonts w:eastAsia="Times New Roman" w:cs="Times New Roman" w:ascii="Times New Roman" w:hAnsi="Times New Roman"/>
                <w:lang w:eastAsia="pt-BR"/>
              </w:rPr>
              <w:t>Campus Panambi</w:t>
            </w:r>
          </w:p>
        </w:tc>
        <w:tc>
          <w:tcPr>
            <w:tcW w:w="4974"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CNPJ: 10.662.072/0007-43</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Município/UF Panambi RS</w:t>
            </w:r>
          </w:p>
        </w:tc>
      </w:tr>
      <w:tr>
        <w:trPr/>
        <w:tc>
          <w:tcPr>
            <w:tcW w:w="8688" w:type="dxa"/>
            <w:gridSpan w:val="10"/>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Endereço: Rua Erechim 860</w:t>
            </w:r>
          </w:p>
        </w:tc>
        <w:tc>
          <w:tcPr>
            <w:tcW w:w="158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DDD/Fone: (55) 3376 8806</w:t>
            </w:r>
          </w:p>
        </w:tc>
      </w:tr>
      <w:tr>
        <w:trPr/>
        <w:tc>
          <w:tcPr>
            <w:tcW w:w="6489"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Nome do representante:</w:t>
            </w:r>
          </w:p>
        </w:tc>
        <w:tc>
          <w:tcPr>
            <w:tcW w:w="3784"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CPF:</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 RELAÇÃO DE FORNECEDORES E PRODUTOS</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Identificação do Agricultor (a) Familiar</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Produto</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Unidade</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Quantidade</w:t>
            </w:r>
          </w:p>
        </w:tc>
        <w:tc>
          <w:tcPr>
            <w:tcW w:w="220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Preço de Aquisição /Unidade</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6.Valor Total</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agricultor</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agricultor</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agricultor</w:t>
            </w:r>
          </w:p>
        </w:tc>
      </w:tr>
      <w:tr>
        <w:trPr/>
        <w:tc>
          <w:tcPr>
            <w:tcW w:w="7684"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do projeto</w:t>
            </w:r>
          </w:p>
        </w:tc>
        <w:tc>
          <w:tcPr>
            <w:tcW w:w="158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OBS: Preço publicado no Edital nº01/2018 (o mesmo que consta na chamada pública).</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IV - TOTALIZAÇÃO POR PRODUTO</w:t>
            </w:r>
          </w:p>
          <w:p>
            <w:pPr>
              <w:pStyle w:val="Normal"/>
              <w:spacing w:lineRule="auto" w:line="360" w:beforeAutospacing="1" w:afterAutospacing="1"/>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Produto</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Unidade</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Quantidade</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Preço/Unidade</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Valor Total por Produto</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Cronograma de Entrega dos Produtos</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do projeto:</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Declaro estar de acordo com as condições estabelecidas neste projeto e que as informações acima conferem com as condições de fornecimento.</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5237"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 do Representante do Grupo Informal</w:t>
            </w:r>
          </w:p>
        </w:tc>
        <w:tc>
          <w:tcPr>
            <w:tcW w:w="2586"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Fone/E-mail:</w:t>
              <w:br/>
              <w:t>CPF:</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5237"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Agricultores (as) Fornecedores (as) do Grupo Informal</w:t>
            </w:r>
          </w:p>
        </w:tc>
        <w:tc>
          <w:tcPr>
            <w:tcW w:w="2586"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5237"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6"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5237"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6"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5237"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6"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bl>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ANEXO V</w:t>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Normal"/>
        <w:spacing w:lineRule="auto" w:line="360" w:before="0" w:after="0"/>
        <w:jc w:val="center"/>
        <w:rPr/>
      </w:pPr>
      <w:r>
        <w:rPr>
          <w:rFonts w:eastAsia="Times New Roman" w:cs="Times New Roman" w:ascii="Times New Roman" w:hAnsi="Times New Roman"/>
          <w:b/>
          <w:color w:val="000000" w:themeColor="text1"/>
          <w:lang w:eastAsia="pt-BR"/>
        </w:rPr>
        <w:t>CHAMADA PUBLICA Nº 01/2019</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MODELO DE PROJETO DE VENDA</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PARA OS GRUPOS FORMAIS</w:t>
        <w:br/>
      </w:r>
    </w:p>
    <w:tbl>
      <w:tblPr>
        <w:tblW w:w="1027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448"/>
        <w:gridCol w:w="1474"/>
        <w:gridCol w:w="1469"/>
        <w:gridCol w:w="1"/>
        <w:gridCol w:w="1468"/>
        <w:gridCol w:w="2"/>
        <w:gridCol w:w="1472"/>
        <w:gridCol w:w="1"/>
        <w:gridCol w:w="2"/>
        <w:gridCol w:w="636"/>
        <w:gridCol w:w="1"/>
        <w:gridCol w:w="1"/>
        <w:gridCol w:w="1"/>
        <w:gridCol w:w="2298"/>
      </w:tblGrid>
      <w:tr>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PROJETO DE VENDA DE GÊNEROS ALIMENTÍCIOS DA AGRICULTURA FAMILIAR PARA ALIMENTAÇÃO ESCOLAR/PNAE</w:t>
            </w:r>
          </w:p>
        </w:tc>
      </w:tr>
      <w:tr>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FFFFFF"/>
                <w:lang w:eastAsia="pt-BR"/>
              </w:rPr>
              <w:t>IDENTIFICAÇÃO DA PROPOSTA DE ATENDIMENTO AO EDITAL/CHAMADA PÚBLICA Nº 01/2019</w:t>
            </w:r>
          </w:p>
        </w:tc>
      </w:tr>
      <w:tr>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 - IDENTIFICAÇÃO DOS FORNECEDORES</w:t>
            </w:r>
          </w:p>
        </w:tc>
      </w:tr>
      <w:tr>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GRUPO FORMAL</w:t>
            </w:r>
          </w:p>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439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Proponente:</w:t>
            </w:r>
          </w:p>
        </w:tc>
        <w:tc>
          <w:tcPr>
            <w:tcW w:w="5883" w:type="dxa"/>
            <w:gridSpan w:val="11"/>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CNPJ:</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Endereço:</w:t>
            </w:r>
          </w:p>
        </w:tc>
        <w:tc>
          <w:tcPr>
            <w:tcW w:w="7352"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Município/UF:</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E-mail:</w:t>
            </w:r>
          </w:p>
        </w:tc>
        <w:tc>
          <w:tcPr>
            <w:tcW w:w="5053" w:type="dxa"/>
            <w:gridSpan w:val="10"/>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DDD/Fone:</w:t>
            </w:r>
          </w:p>
        </w:tc>
        <w:tc>
          <w:tcPr>
            <w:tcW w:w="2299"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CEP:</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8. Nº DAP Jurídica:</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9. Banco</w:t>
            </w:r>
          </w:p>
        </w:tc>
        <w:tc>
          <w:tcPr>
            <w:tcW w:w="2943"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10. Agência Corrente</w:t>
            </w:r>
          </w:p>
        </w:tc>
        <w:tc>
          <w:tcPr>
            <w:tcW w:w="2939"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11. Conta Nº da Conta</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12. Nº de Associados:</w:t>
            </w:r>
          </w:p>
        </w:tc>
        <w:tc>
          <w:tcPr>
            <w:tcW w:w="4412"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13. Nº de Associados de acordo com a Lei nº 11.326/2006:</w:t>
            </w:r>
          </w:p>
        </w:tc>
        <w:tc>
          <w:tcPr>
            <w:tcW w:w="2940"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14. Nº de Associados com DAP Física:</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15. Nome do representante legal:</w:t>
            </w:r>
          </w:p>
        </w:tc>
        <w:tc>
          <w:tcPr>
            <w:tcW w:w="4412"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16. CPF:</w:t>
            </w:r>
          </w:p>
        </w:tc>
        <w:tc>
          <w:tcPr>
            <w:tcW w:w="2940"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17. DDD/Fone:</w:t>
            </w:r>
          </w:p>
        </w:tc>
      </w:tr>
      <w:tr>
        <w:trPr/>
        <w:tc>
          <w:tcPr>
            <w:tcW w:w="439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18. Endereço:</w:t>
            </w:r>
          </w:p>
        </w:tc>
        <w:tc>
          <w:tcPr>
            <w:tcW w:w="5883" w:type="dxa"/>
            <w:gridSpan w:val="11"/>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19. Município/UF:</w:t>
            </w:r>
          </w:p>
        </w:tc>
      </w:tr>
      <w:tr>
        <w:trPr>
          <w:trHeight w:val="588" w:hRule="atLeast"/>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 - IDENTIFICAÇÃO DA ENTIDADE EXECUTORA DO PNAE/FNDE/MEC</w:t>
            </w:r>
          </w:p>
          <w:p>
            <w:pPr>
              <w:pStyle w:val="Normal"/>
              <w:spacing w:lineRule="auto" w:line="360" w:beforeAutospacing="1" w:afterAutospacing="1"/>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439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da Entidade: IF Farroupilha Campus Panambi</w:t>
            </w:r>
          </w:p>
        </w:tc>
        <w:tc>
          <w:tcPr>
            <w:tcW w:w="3583"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CNPJ: 10.662.072/0007-43</w:t>
            </w:r>
          </w:p>
        </w:tc>
        <w:tc>
          <w:tcPr>
            <w:tcW w:w="2300"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Município/UF: Panambi RS</w:t>
            </w:r>
          </w:p>
        </w:tc>
      </w:tr>
      <w:tr>
        <w:trPr/>
        <w:tc>
          <w:tcPr>
            <w:tcW w:w="7973" w:type="dxa"/>
            <w:gridSpan w:val="10"/>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Endereço: Rua Erechim 860</w:t>
            </w:r>
          </w:p>
        </w:tc>
        <w:tc>
          <w:tcPr>
            <w:tcW w:w="2301"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DDD/Fone: (55) 3376 8806</w:t>
            </w:r>
          </w:p>
        </w:tc>
      </w:tr>
      <w:tr>
        <w:trPr/>
        <w:tc>
          <w:tcPr>
            <w:tcW w:w="586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Nome do representante:</w:t>
            </w:r>
          </w:p>
        </w:tc>
        <w:tc>
          <w:tcPr>
            <w:tcW w:w="4414" w:type="dxa"/>
            <w:gridSpan w:val="9"/>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CPF:</w:t>
            </w:r>
          </w:p>
        </w:tc>
      </w:tr>
      <w:tr>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III - RELAÇÃO DE PRODUTOS</w:t>
            </w:r>
          </w:p>
          <w:p>
            <w:pPr>
              <w:pStyle w:val="Normal"/>
              <w:spacing w:lineRule="auto" w:line="360" w:beforeAutospacing="1" w:afterAutospacing="1"/>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144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Produto</w:t>
            </w:r>
          </w:p>
        </w:tc>
        <w:tc>
          <w:tcPr>
            <w:tcW w:w="147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Unidade</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Quantidade</w:t>
            </w:r>
          </w:p>
        </w:tc>
        <w:tc>
          <w:tcPr>
            <w:tcW w:w="3583"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Preço de Aquisição</w:t>
            </w:r>
          </w:p>
        </w:tc>
        <w:tc>
          <w:tcPr>
            <w:tcW w:w="2299" w:type="dxa"/>
            <w:gridSpan w:val="2"/>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Cronograma de Entrega dos produtos</w:t>
            </w:r>
          </w:p>
        </w:tc>
      </w:tr>
      <w:tr>
        <w:trPr/>
        <w:tc>
          <w:tcPr>
            <w:tcW w:w="144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4.1. Unitário</w:t>
            </w:r>
          </w:p>
        </w:tc>
        <w:tc>
          <w:tcPr>
            <w:tcW w:w="2113"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4.2. Total</w:t>
            </w:r>
          </w:p>
        </w:tc>
        <w:tc>
          <w:tcPr>
            <w:tcW w:w="2299" w:type="dxa"/>
            <w:gridSpan w:val="2"/>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44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63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2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44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63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2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44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63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22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44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4"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63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22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pPr>
            <w:r>
              <w:rPr>
                <w:rFonts w:eastAsia="Times New Roman" w:cs="Times New Roman" w:ascii="Times New Roman" w:hAnsi="Times New Roman"/>
                <w:lang w:eastAsia="pt-BR"/>
              </w:rPr>
              <w:t>OBS: * Preço publicado no Edital nº 01/2019 (o mesmo que consta na chamada pública).</w:t>
            </w:r>
          </w:p>
        </w:tc>
      </w:tr>
      <w:tr>
        <w:trPr/>
        <w:tc>
          <w:tcPr>
            <w:tcW w:w="10274" w:type="dxa"/>
            <w:gridSpan w:val="1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Declaro estar de acordo com as condições estabelecidas neste projeto e que as informações acima conferem com as condições de fornecimento.</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4412"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 do Representante do Grupo Formal</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940"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Fone/E-mail:</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4412"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940"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4412"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940"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bl>
    <w:p>
      <w:pPr>
        <w:pStyle w:val="Normal"/>
        <w:spacing w:lineRule="auto" w:line="360"/>
        <w:jc w:val="center"/>
        <w:rPr>
          <w:rFonts w:ascii="Times New Roman" w:hAnsi="Times New Roman" w:eastAsia="Times New Roman" w:cs="Times New Roman"/>
          <w:b/>
          <w:b/>
          <w:color w:val="000000" w:themeColor="text1"/>
          <w:lang w:eastAsia="pt-BR"/>
        </w:rPr>
      </w:pPr>
      <w:r>
        <w:br w:type="page"/>
      </w:r>
      <w:r>
        <w:rPr>
          <w:rFonts w:eastAsia="Times New Roman" w:cs="Times New Roman" w:ascii="Times New Roman" w:hAnsi="Times New Roman"/>
          <w:b/>
          <w:color w:val="000000" w:themeColor="text1"/>
          <w:lang w:eastAsia="pt-BR"/>
        </w:rPr>
        <w:t>ANEXO VI</w:t>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Normal"/>
        <w:spacing w:lineRule="auto" w:line="360" w:before="0" w:after="0"/>
        <w:jc w:val="center"/>
        <w:rPr/>
      </w:pPr>
      <w:r>
        <w:rPr>
          <w:rFonts w:eastAsia="Times New Roman" w:cs="Times New Roman" w:ascii="Times New Roman" w:hAnsi="Times New Roman"/>
          <w:b/>
          <w:color w:val="000000" w:themeColor="text1"/>
          <w:lang w:eastAsia="pt-BR"/>
        </w:rPr>
        <w:t>CHAMADA PUBLICA Nº 01/2019</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MODELO DE DECLARAÇÃO DE PRODUÇÃO PRÓPRIA</w:t>
      </w:r>
    </w:p>
    <w:p>
      <w:pPr>
        <w:pStyle w:val="Western"/>
        <w:spacing w:lineRule="auto" w:line="360" w:before="0" w:after="0"/>
        <w:jc w:val="center"/>
        <w:rPr>
          <w:sz w:val="22"/>
          <w:szCs w:val="22"/>
        </w:rPr>
      </w:pPr>
      <w:r>
        <w:rPr>
          <w:sz w:val="22"/>
          <w:szCs w:val="22"/>
        </w:rPr>
        <w:t>* No caso de Grupo Formal e Informal, todos os integrantes do Grupo deverão entregar a declaração individualmente.</w:t>
      </w:r>
    </w:p>
    <w:p>
      <w:pPr>
        <w:pStyle w:val="Western"/>
        <w:spacing w:lineRule="auto" w:line="360" w:before="0" w:after="0"/>
        <w:jc w:val="center"/>
        <w:rPr>
          <w:sz w:val="22"/>
          <w:szCs w:val="22"/>
        </w:rPr>
      </w:pPr>
      <w:r>
        <w:rPr>
          <w:sz w:val="22"/>
          <w:szCs w:val="22"/>
        </w:rPr>
      </w:r>
    </w:p>
    <w:p>
      <w:pPr>
        <w:pStyle w:val="Western"/>
        <w:spacing w:lineRule="auto" w:line="360" w:before="0" w:after="0"/>
        <w:jc w:val="center"/>
        <w:rPr/>
      </w:pPr>
      <w:r>
        <w:rPr>
          <w:sz w:val="22"/>
          <w:szCs w:val="22"/>
        </w:rPr>
        <w:t>DECLARAÇÃO DE PRODUÇÃO PRÓPRIA (CHAMADA PÚBLICA Nº 01/2019)</w:t>
      </w:r>
    </w:p>
    <w:p>
      <w:pPr>
        <w:pStyle w:val="Western"/>
        <w:spacing w:lineRule="auto" w:line="360" w:before="0" w:after="0"/>
        <w:rPr>
          <w:sz w:val="22"/>
          <w:szCs w:val="22"/>
        </w:rPr>
      </w:pPr>
      <w:r>
        <w:rPr>
          <w:sz w:val="22"/>
          <w:szCs w:val="22"/>
        </w:rPr>
      </w:r>
    </w:p>
    <w:p>
      <w:pPr>
        <w:pStyle w:val="Western"/>
        <w:spacing w:lineRule="auto" w:line="360" w:before="0" w:after="0"/>
        <w:rPr>
          <w:sz w:val="22"/>
          <w:szCs w:val="22"/>
        </w:rPr>
      </w:pPr>
      <w:r>
        <w:rPr>
          <w:sz w:val="22"/>
          <w:szCs w:val="22"/>
        </w:rPr>
        <w:t>Eu, ______________________________________________, CPF nº __________________________________________, DAP nº ___________________________________ declaro para os devidos fins que os gêneros alimentícios relacionados no projeto de venda em meu nome são produzidos na minha Unidade de Produção Familiar (Associados/cooperados).</w:t>
      </w:r>
    </w:p>
    <w:p>
      <w:pPr>
        <w:pStyle w:val="Western"/>
        <w:spacing w:lineRule="auto" w:line="360" w:before="0" w:after="0"/>
        <w:rPr>
          <w:sz w:val="22"/>
          <w:szCs w:val="22"/>
        </w:rPr>
      </w:pPr>
      <w:r>
        <w:rPr>
          <w:sz w:val="22"/>
          <w:szCs w:val="22"/>
        </w:rPr>
      </w:r>
    </w:p>
    <w:p>
      <w:pPr>
        <w:pStyle w:val="Western"/>
        <w:spacing w:lineRule="auto" w:line="360" w:before="0" w:after="0"/>
        <w:rPr>
          <w:sz w:val="22"/>
          <w:szCs w:val="22"/>
        </w:rPr>
      </w:pPr>
      <w:r>
        <w:rPr>
          <w:sz w:val="22"/>
          <w:szCs w:val="22"/>
        </w:rPr>
      </w:r>
    </w:p>
    <w:p>
      <w:pPr>
        <w:pStyle w:val="Western"/>
        <w:spacing w:lineRule="auto" w:line="360" w:before="0" w:after="0"/>
        <w:jc w:val="center"/>
        <w:rPr>
          <w:sz w:val="22"/>
          <w:szCs w:val="22"/>
        </w:rPr>
      </w:pPr>
      <w:r>
        <w:rPr>
          <w:sz w:val="22"/>
          <w:szCs w:val="22"/>
        </w:rPr>
        <w:t>Panambi, ____/____/_____</w:t>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ANEXO VII</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Normal"/>
        <w:spacing w:lineRule="auto" w:line="360" w:before="0" w:after="0"/>
        <w:jc w:val="center"/>
        <w:rPr/>
      </w:pPr>
      <w:r>
        <w:rPr>
          <w:rFonts w:eastAsia="Times New Roman" w:cs="Times New Roman" w:ascii="Times New Roman" w:hAnsi="Times New Roman"/>
          <w:b/>
          <w:color w:val="000000" w:themeColor="text1"/>
          <w:lang w:eastAsia="pt-BR"/>
        </w:rPr>
        <w:t>CHAMADA PUBLICA Nº 01/2019</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r>
    </w:p>
    <w:p>
      <w:pPr>
        <w:pStyle w:val="Normal"/>
        <w:spacing w:lineRule="auto" w:line="360" w:before="0" w:after="0"/>
        <w:jc w:val="center"/>
        <w:rPr/>
      </w:pPr>
      <w:r>
        <w:rPr>
          <w:rFonts w:eastAsia="Times New Roman" w:cs="Times New Roman" w:ascii="Times New Roman" w:hAnsi="Times New Roman"/>
          <w:b/>
          <w:color w:val="000000" w:themeColor="text1"/>
          <w:lang w:eastAsia="pt-BR"/>
        </w:rPr>
        <w:t>MODELO DE DECLARAÇÃO DE RESPONSABILIDADE PELO CONTROLE DO LIMITE INDIVIDUAL VENDAS COOPERADOS/ASSOCIADOS</w:t>
      </w:r>
    </w:p>
    <w:p>
      <w:pPr>
        <w:pStyle w:val="Standard"/>
        <w:spacing w:lineRule="auto" w:line="360"/>
        <w:rPr>
          <w:rFonts w:ascii="Times New Roman" w:hAnsi="Times New Roman" w:cs="Times New Roman"/>
          <w:b/>
          <w:b/>
          <w:sz w:val="22"/>
          <w:szCs w:val="22"/>
        </w:rPr>
      </w:pPr>
      <w:r>
        <w:rPr>
          <w:rFonts w:cs="Times New Roman" w:ascii="Times New Roman" w:hAnsi="Times New Roman"/>
          <w:b/>
          <w:sz w:val="22"/>
          <w:szCs w:val="22"/>
        </w:rPr>
      </w:r>
    </w:p>
    <w:p>
      <w:pPr>
        <w:pStyle w:val="Standard"/>
        <w:spacing w:lineRule="auto" w:line="360"/>
        <w:jc w:val="both"/>
        <w:rPr>
          <w:rFonts w:ascii="Times New Roman" w:hAnsi="Times New Roman" w:cs="Times New Roman"/>
          <w:b/>
          <w:b/>
          <w:sz w:val="22"/>
          <w:szCs w:val="22"/>
        </w:rPr>
      </w:pPr>
      <w:r>
        <w:rPr>
          <w:rFonts w:cs="Times New Roman" w:ascii="Times New Roman" w:hAnsi="Times New Roman"/>
          <w:b/>
          <w:sz w:val="22"/>
          <w:szCs w:val="22"/>
        </w:rPr>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Eu, representante da Cooperativa/Associação ______________________________________________, com CNPJ nº __________________________________________ e DAP Jurídica nº ___________________________________ sediada __________________(endereço completo), por intermédio do seu representante legal o(a) Sr.(a) ________________________, portador da Carteira de Identidade nº ___________________ firmado abaixo, declara sob as penas da lei, para fins de participação na Chamada Pública nº 01/2019 que:</w:t>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a); declaração do seu representante legal de responsabilidade pelo controle do atendimento do limite individual de venda de seus cooperados/associados</w:t>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t>----------------------, ------- de ---------------------- de 2018.</w:t>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360"/>
        <w:rPr>
          <w:rFonts w:ascii="Times New Roman" w:hAnsi="Times New Roman" w:cs="Times New Roman"/>
        </w:rPr>
      </w:pPr>
      <w:r>
        <w:rPr>
          <w:rFonts w:cs="Times New Roman" w:ascii="Times New Roman" w:hAnsi="Times New Roman"/>
        </w:rPr>
        <w:t>Assinatura do Representante Legal</w:t>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tabs>
          <w:tab w:val="left" w:pos="2895" w:leader="none"/>
        </w:tabs>
        <w:jc w:val="center"/>
        <w:rPr>
          <w:rFonts w:ascii="Times New Roman" w:hAnsi="Times New Roman" w:cs="Times New Roman"/>
          <w:b/>
          <w:b/>
          <w:bCs/>
        </w:rPr>
      </w:pPr>
      <w:r>
        <w:rPr>
          <w:rFonts w:cs="Times New Roman" w:ascii="Times New Roman" w:hAnsi="Times New Roman"/>
          <w:b/>
          <w:bCs/>
        </w:rPr>
        <w:t>ANEXO VIII</w:t>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Standard"/>
        <w:spacing w:lineRule="auto" w:line="360"/>
        <w:jc w:val="center"/>
        <w:rPr/>
      </w:pPr>
      <w:r>
        <w:rPr>
          <w:rFonts w:cs="Times New Roman" w:ascii="Times New Roman" w:hAnsi="Times New Roman"/>
          <w:b/>
          <w:color w:val="000000" w:themeColor="text1"/>
          <w:sz w:val="22"/>
          <w:szCs w:val="22"/>
        </w:rPr>
        <w:t>CHAMADA PUBLICA Nº 01/2019</w:t>
      </w:r>
    </w:p>
    <w:p>
      <w:pPr>
        <w:pStyle w:val="Standard"/>
        <w:spacing w:lineRule="auto" w:line="360"/>
        <w:jc w:val="center"/>
        <w:rPr>
          <w:rFonts w:ascii="Times New Roman" w:hAnsi="Times New Roman" w:cs="Times New Roman"/>
          <w:b/>
          <w:b/>
          <w:bCs/>
          <w:sz w:val="22"/>
          <w:szCs w:val="22"/>
        </w:rPr>
      </w:pPr>
      <w:r>
        <w:rPr>
          <w:rFonts w:cs="Times New Roman" w:ascii="Times New Roman" w:hAnsi="Times New Roman"/>
          <w:b/>
          <w:bCs/>
          <w:sz w:val="22"/>
          <w:szCs w:val="22"/>
        </w:rPr>
        <w:t>TERMO DE RECEBIMENTO DA AGRICULTURA FAMILIAR</w:t>
      </w:r>
    </w:p>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tab/>
        <w:t>Atesto que o Instituto Federal de Educação Ciência e Tecnologia Farroupilha Campus Panambi, CNPJ 10.662.072/0007-43 representado por (NOME DO REPRESENTANTE LEGAL), CPF (..............) recebeu em ____/____/____ ou durante o período de ____/____/______ a ____/____/_____ do(s) (PRENCHER COM NOME(S) DO(S)FORNECEDOR(ES)), os produtos abaixo relacionados:</w:t>
      </w:r>
    </w:p>
    <w:tbl>
      <w:tblPr>
        <w:tblW w:w="9635" w:type="dxa"/>
        <w:jc w:val="left"/>
        <w:tblInd w:w="-54" w:type="dxa"/>
        <w:tblBorders>
          <w:top w:val="single" w:sz="2" w:space="0" w:color="000001"/>
          <w:left w:val="single" w:sz="2" w:space="0" w:color="000001"/>
          <w:bottom w:val="single" w:sz="2" w:space="0" w:color="000001"/>
          <w:insideH w:val="single" w:sz="2" w:space="0" w:color="000001"/>
        </w:tblBorders>
        <w:tblCellMar>
          <w:top w:w="55" w:type="dxa"/>
          <w:left w:w="34" w:type="dxa"/>
          <w:bottom w:w="55" w:type="dxa"/>
          <w:right w:w="55" w:type="dxa"/>
        </w:tblCellMar>
        <w:tblLook w:firstRow="0" w:noVBand="0" w:lastRow="0" w:firstColumn="0" w:lastColumn="0" w:noHBand="0" w:val="0000"/>
      </w:tblPr>
      <w:tblGrid>
        <w:gridCol w:w="791"/>
        <w:gridCol w:w="1502"/>
        <w:gridCol w:w="2022"/>
        <w:gridCol w:w="1996"/>
        <w:gridCol w:w="1534"/>
        <w:gridCol w:w="1789"/>
      </w:tblGrid>
      <w:tr>
        <w:trPr/>
        <w:tc>
          <w:tcPr>
            <w:tcW w:w="791" w:type="dxa"/>
            <w:tcBorders>
              <w:top w:val="single" w:sz="2" w:space="0" w:color="000001"/>
              <w:left w:val="single" w:sz="2" w:space="0" w:color="000001"/>
              <w:bottom w:val="single" w:sz="2" w:space="0" w:color="000001"/>
              <w:insideH w:val="single" w:sz="2" w:space="0" w:color="000001"/>
            </w:tcBorders>
            <w:shd w:color="auto" w:fill="C0C0C0" w:val="clear"/>
            <w:tcMar>
              <w:left w:w="34" w:type="dxa"/>
            </w:tcMar>
          </w:tcPr>
          <w:p>
            <w:pPr>
              <w:pStyle w:val="Contedodatabela"/>
              <w:spacing w:lineRule="auto" w:line="360"/>
              <w:rPr>
                <w:rFonts w:cs="Times New Roman"/>
                <w:sz w:val="22"/>
                <w:szCs w:val="22"/>
              </w:rPr>
            </w:pPr>
            <w:r>
              <w:rPr>
                <w:rFonts w:cs="Times New Roman"/>
                <w:sz w:val="22"/>
                <w:szCs w:val="22"/>
              </w:rPr>
              <w:t>ITEM</w:t>
            </w:r>
          </w:p>
        </w:tc>
        <w:tc>
          <w:tcPr>
            <w:tcW w:w="1502" w:type="dxa"/>
            <w:tcBorders>
              <w:top w:val="single" w:sz="2" w:space="0" w:color="000001"/>
              <w:left w:val="single" w:sz="2" w:space="0" w:color="000001"/>
              <w:bottom w:val="single" w:sz="2" w:space="0" w:color="000001"/>
              <w:insideH w:val="single" w:sz="2" w:space="0" w:color="000001"/>
            </w:tcBorders>
            <w:shd w:color="auto" w:fill="C0C0C0" w:val="clear"/>
            <w:tcMar>
              <w:left w:w="34" w:type="dxa"/>
            </w:tcMar>
          </w:tcPr>
          <w:p>
            <w:pPr>
              <w:pStyle w:val="Contedodatabela"/>
              <w:spacing w:lineRule="auto" w:line="360"/>
              <w:rPr>
                <w:rFonts w:cs="Times New Roman"/>
                <w:sz w:val="22"/>
                <w:szCs w:val="22"/>
              </w:rPr>
            </w:pPr>
            <w:r>
              <w:rPr>
                <w:rFonts w:cs="Times New Roman"/>
                <w:sz w:val="22"/>
                <w:szCs w:val="22"/>
              </w:rPr>
              <w:t>DESCRIÇÃO</w:t>
            </w:r>
          </w:p>
        </w:tc>
        <w:tc>
          <w:tcPr>
            <w:tcW w:w="2022" w:type="dxa"/>
            <w:tcBorders>
              <w:top w:val="single" w:sz="2" w:space="0" w:color="000001"/>
              <w:left w:val="single" w:sz="2" w:space="0" w:color="000001"/>
              <w:bottom w:val="single" w:sz="2" w:space="0" w:color="000001"/>
              <w:insideH w:val="single" w:sz="2" w:space="0" w:color="000001"/>
            </w:tcBorders>
            <w:shd w:color="auto" w:fill="C0C0C0" w:val="clear"/>
            <w:tcMar>
              <w:left w:w="34" w:type="dxa"/>
            </w:tcMar>
          </w:tcPr>
          <w:p>
            <w:pPr>
              <w:pStyle w:val="Contedodatabela"/>
              <w:spacing w:lineRule="auto" w:line="360"/>
              <w:rPr>
                <w:rFonts w:cs="Times New Roman"/>
                <w:sz w:val="22"/>
                <w:szCs w:val="22"/>
              </w:rPr>
            </w:pPr>
            <w:r>
              <w:rPr>
                <w:rFonts w:cs="Times New Roman"/>
                <w:sz w:val="22"/>
                <w:szCs w:val="22"/>
              </w:rPr>
              <w:t>UNIDADE</w:t>
            </w:r>
          </w:p>
        </w:tc>
        <w:tc>
          <w:tcPr>
            <w:tcW w:w="1996" w:type="dxa"/>
            <w:tcBorders>
              <w:top w:val="single" w:sz="2" w:space="0" w:color="000001"/>
              <w:left w:val="single" w:sz="2" w:space="0" w:color="000001"/>
              <w:bottom w:val="single" w:sz="2" w:space="0" w:color="000001"/>
              <w:insideH w:val="single" w:sz="2" w:space="0" w:color="000001"/>
            </w:tcBorders>
            <w:shd w:color="auto" w:fill="C0C0C0" w:val="clear"/>
            <w:tcMar>
              <w:left w:w="34" w:type="dxa"/>
            </w:tcMar>
          </w:tcPr>
          <w:p>
            <w:pPr>
              <w:pStyle w:val="Contedodatabela"/>
              <w:spacing w:lineRule="auto" w:line="360"/>
              <w:rPr>
                <w:rFonts w:cs="Times New Roman"/>
                <w:sz w:val="22"/>
                <w:szCs w:val="22"/>
              </w:rPr>
            </w:pPr>
            <w:r>
              <w:rPr>
                <w:rFonts w:cs="Times New Roman"/>
                <w:sz w:val="22"/>
                <w:szCs w:val="22"/>
              </w:rPr>
              <w:t>QUANT. TOTAL</w:t>
            </w:r>
          </w:p>
        </w:tc>
        <w:tc>
          <w:tcPr>
            <w:tcW w:w="1534" w:type="dxa"/>
            <w:tcBorders>
              <w:top w:val="single" w:sz="2" w:space="0" w:color="000001"/>
              <w:left w:val="single" w:sz="2" w:space="0" w:color="000001"/>
              <w:bottom w:val="single" w:sz="2" w:space="0" w:color="000001"/>
              <w:insideH w:val="single" w:sz="2" w:space="0" w:color="000001"/>
            </w:tcBorders>
            <w:shd w:color="auto" w:fill="C0C0C0" w:val="clear"/>
            <w:tcMar>
              <w:left w:w="34" w:type="dxa"/>
            </w:tcMar>
          </w:tcPr>
          <w:p>
            <w:pPr>
              <w:pStyle w:val="Contedodatabela"/>
              <w:spacing w:lineRule="auto" w:line="360"/>
              <w:rPr>
                <w:rFonts w:cs="Times New Roman"/>
                <w:sz w:val="22"/>
                <w:szCs w:val="22"/>
              </w:rPr>
            </w:pPr>
            <w:r>
              <w:rPr>
                <w:rFonts w:cs="Times New Roman"/>
                <w:sz w:val="22"/>
                <w:szCs w:val="22"/>
              </w:rPr>
              <w:t>VALOR UNITÁRIO</w:t>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C0C0C0" w:val="clear"/>
            <w:tcMar>
              <w:left w:w="34" w:type="dxa"/>
            </w:tcMar>
          </w:tcPr>
          <w:p>
            <w:pPr>
              <w:pStyle w:val="Contedodatabela"/>
              <w:spacing w:lineRule="auto" w:line="360"/>
              <w:rPr>
                <w:rFonts w:cs="Times New Roman"/>
                <w:sz w:val="22"/>
                <w:szCs w:val="22"/>
              </w:rPr>
            </w:pPr>
            <w:r>
              <w:rPr>
                <w:rFonts w:cs="Times New Roman"/>
                <w:sz w:val="22"/>
                <w:szCs w:val="22"/>
              </w:rPr>
              <w:t>VALOR TOTAL</w:t>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1</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2</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3</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4</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5</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6</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7</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8</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9</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10</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11</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12</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13</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14</w:t>
            </w:r>
          </w:p>
        </w:tc>
        <w:tc>
          <w:tcPr>
            <w:tcW w:w="150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2" w:space="0" w:color="000001"/>
              <w:bottom w:val="single" w:sz="4" w:space="0" w:color="00000A"/>
              <w:insideH w:val="single" w:sz="4" w:space="0" w:color="00000A"/>
            </w:tcBorders>
            <w:shd w:color="auto" w:fill="auto" w:val="clear"/>
            <w:tcMar>
              <w:left w:w="34" w:type="dxa"/>
            </w:tcMar>
          </w:tcPr>
          <w:p>
            <w:pPr>
              <w:pStyle w:val="Contedodatabela"/>
              <w:spacing w:lineRule="auto" w:line="360"/>
              <w:jc w:val="right"/>
              <w:rPr>
                <w:rFonts w:cs="Times New Roman"/>
                <w:sz w:val="22"/>
                <w:szCs w:val="22"/>
              </w:rPr>
            </w:pPr>
            <w:r>
              <w:rPr>
                <w:rFonts w:cs="Times New Roman"/>
                <w:sz w:val="22"/>
                <w:szCs w:val="22"/>
              </w:rPr>
              <w:t>15</w:t>
            </w:r>
          </w:p>
        </w:tc>
        <w:tc>
          <w:tcPr>
            <w:tcW w:w="1502" w:type="dxa"/>
            <w:tcBorders>
              <w:top w:val="single" w:sz="4" w:space="0" w:color="00000A"/>
              <w:left w:val="single" w:sz="2" w:space="0" w:color="000001"/>
              <w:bottom w:val="single" w:sz="4" w:space="0" w:color="00000A"/>
              <w:insideH w:val="single" w:sz="4" w:space="0" w:color="00000A"/>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2" w:space="0" w:color="000001"/>
              <w:bottom w:val="single" w:sz="4" w:space="0" w:color="00000A"/>
              <w:insideH w:val="single" w:sz="4" w:space="0" w:color="00000A"/>
            </w:tcBorders>
            <w:shd w:color="auto" w:fill="auto" w:val="clear"/>
            <w:tcMar>
              <w:left w:w="3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2" w:space="0" w:color="000001"/>
              <w:bottom w:val="single" w:sz="4" w:space="0" w:color="00000A"/>
              <w:insideH w:val="single" w:sz="4" w:space="0" w:color="00000A"/>
            </w:tcBorders>
            <w:shd w:color="auto" w:fill="auto" w:val="clear"/>
            <w:tcMar>
              <w:left w:w="3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2" w:space="0" w:color="000001"/>
              <w:bottom w:val="single" w:sz="4" w:space="0" w:color="00000A"/>
              <w:insideH w:val="single" w:sz="4" w:space="0" w:color="00000A"/>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16</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17</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18</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19</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20</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21</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22</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t>23</w:t>
            </w:r>
          </w:p>
        </w:tc>
        <w:tc>
          <w:tcPr>
            <w:tcW w:w="150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r>
          </w:p>
        </w:tc>
      </w:tr>
      <w:tr>
        <w:trPr/>
        <w:tc>
          <w:tcPr>
            <w:tcW w:w="79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jc w:val="right"/>
              <w:rPr>
                <w:rFonts w:cs="Times New Roman"/>
                <w:sz w:val="22"/>
                <w:szCs w:val="22"/>
              </w:rPr>
            </w:pPr>
            <w:r>
              <w:rPr>
                <w:rFonts w:cs="Times New Roman"/>
                <w:sz w:val="22"/>
                <w:szCs w:val="22"/>
              </w:rPr>
            </w:r>
          </w:p>
        </w:tc>
        <w:tc>
          <w:tcPr>
            <w:tcW w:w="1502" w:type="dxa"/>
            <w:tcBorders>
              <w:top w:val="single" w:sz="4" w:space="0" w:color="00000A"/>
              <w:left w:val="single" w:sz="4" w:space="0" w:color="00000A"/>
              <w:bottom w:val="single" w:sz="4" w:space="0" w:color="00000A"/>
              <w:insideH w:val="single" w:sz="4" w:space="0" w:color="00000A"/>
            </w:tcBorders>
            <w:shd w:color="auto" w:fill="auto" w:val="clear"/>
            <w:tcMar>
              <w:left w:w="2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bottom w:val="single" w:sz="4" w:space="0" w:color="00000A"/>
              <w:insideH w:val="single" w:sz="4" w:space="0" w:color="00000A"/>
            </w:tcBorders>
            <w:shd w:color="auto" w:fill="auto" w:val="clear"/>
            <w:tcMar>
              <w:left w:w="5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t>TOTAL</w:t>
            </w:r>
          </w:p>
        </w:tc>
        <w:tc>
          <w:tcPr>
            <w:tcW w:w="1996" w:type="dxa"/>
            <w:tcBorders>
              <w:top w:val="single" w:sz="4" w:space="0" w:color="00000A"/>
              <w:bottom w:val="single" w:sz="4" w:space="0" w:color="00000A"/>
              <w:insideH w:val="single" w:sz="4" w:space="0" w:color="00000A"/>
            </w:tcBorders>
            <w:shd w:color="auto" w:fill="auto" w:val="clear"/>
            <w:tcMar>
              <w:left w:w="5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20" w:type="dxa"/>
            </w:tcMar>
          </w:tcPr>
          <w:p>
            <w:pPr>
              <w:pStyle w:val="Contedodatabela"/>
              <w:spacing w:lineRule="auto" w:line="360"/>
              <w:rPr>
                <w:rFonts w:cs="Times New Roman"/>
                <w:sz w:val="22"/>
                <w:szCs w:val="22"/>
              </w:rPr>
            </w:pPr>
            <w:r>
              <w:rPr>
                <w:rFonts w:cs="Times New Roman"/>
                <w:sz w:val="22"/>
                <w:szCs w:val="22"/>
              </w:rPr>
              <w:t xml:space="preserve">R$ </w:t>
            </w:r>
          </w:p>
        </w:tc>
      </w:tr>
    </w:tbl>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ab/>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Nestes termos, os produtos entregues estão de acordo com o Projeto de Venda de Gêneros Alimentícios da Agricultura Familiar para Alimentação Escolar e totalizam o valor de R$______________ (_____________________________________________________).</w:t>
      </w:r>
    </w:p>
    <w:p>
      <w:pPr>
        <w:pStyle w:val="Standard"/>
        <w:spacing w:lineRule="auto" w:line="360"/>
        <w:jc w:val="both"/>
        <w:rPr>
          <w:rFonts w:ascii="Times New Roman" w:hAnsi="Times New Roman" w:cs="Times New Roman"/>
          <w:sz w:val="22"/>
          <w:szCs w:val="22"/>
        </w:rPr>
      </w:pPr>
      <w:r>
        <w:rPr>
          <w:rFonts w:cs="Times New Roman" w:ascii="Times New Roman" w:hAnsi="Times New Roman"/>
          <w:color w:val="000000"/>
          <w:sz w:val="22"/>
          <w:szCs w:val="22"/>
        </w:rPr>
        <w:tab/>
        <w:t>Declaro ainda que o(s) produto(s) recebido(s) está (ao) de acordo com os padrões de qualidade aceitos por esta instituição, pelo(s) qual (is) concedemos a aceitabilidade, comprometendo-nos a dar a destinação final aos produtos recebidos, conforme estabelecido na aquisição da Agricultura Familiar para Alimentação Escolar, aprovado pelo CAE.</w:t>
      </w:r>
    </w:p>
    <w:p>
      <w:pPr>
        <w:pStyle w:val="Standard"/>
        <w:spacing w:lineRule="auto" w:line="360"/>
        <w:jc w:val="center"/>
        <w:rPr>
          <w:rFonts w:ascii="Times New Roman" w:hAnsi="Times New Roman" w:cs="Times New Roman"/>
          <w:color w:val="000000"/>
          <w:sz w:val="22"/>
          <w:szCs w:val="22"/>
        </w:rPr>
      </w:pPr>
      <w:r>
        <w:rPr>
          <w:rFonts w:cs="Times New Roman" w:ascii="Times New Roman" w:hAnsi="Times New Roman"/>
          <w:color w:val="000000"/>
          <w:sz w:val="22"/>
          <w:szCs w:val="22"/>
        </w:rPr>
        <w:t>Panambi, ____ de __________ de_____</w:t>
      </w:r>
    </w:p>
    <w:p>
      <w:pPr>
        <w:pStyle w:val="Standard"/>
        <w:spacing w:lineRule="auto" w:line="36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Standard"/>
        <w:spacing w:lineRule="auto" w:line="36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Contedodatabela"/>
        <w:spacing w:lineRule="auto" w:line="360"/>
        <w:jc w:val="center"/>
        <w:rPr>
          <w:rFonts w:cs="Times New Roman"/>
          <w:sz w:val="22"/>
          <w:szCs w:val="22"/>
        </w:rPr>
      </w:pPr>
      <w:r>
        <w:rPr>
          <w:rFonts w:cs="Times New Roman"/>
          <w:color w:val="000000"/>
          <w:sz w:val="22"/>
          <w:szCs w:val="22"/>
        </w:rPr>
        <w:t>Nome Representante da Entidade Executora</w:t>
      </w:r>
    </w:p>
    <w:p>
      <w:pPr>
        <w:pStyle w:val="Contedodatabela"/>
        <w:spacing w:lineRule="auto" w:line="360"/>
        <w:jc w:val="center"/>
        <w:rPr>
          <w:rFonts w:cs="Times New Roman"/>
          <w:sz w:val="22"/>
          <w:szCs w:val="22"/>
        </w:rPr>
      </w:pPr>
      <w:r>
        <w:rPr>
          <w:rFonts w:cs="Times New Roman"/>
          <w:sz w:val="22"/>
          <w:szCs w:val="22"/>
        </w:rPr>
        <w:t>CPF</w:t>
      </w:r>
    </w:p>
    <w:p>
      <w:pPr>
        <w:pStyle w:val="Contedodatabela"/>
        <w:spacing w:lineRule="auto" w:line="360"/>
        <w:jc w:val="center"/>
        <w:rPr>
          <w:rFonts w:cs="Times New Roman"/>
          <w:sz w:val="22"/>
          <w:szCs w:val="22"/>
        </w:rPr>
      </w:pPr>
      <w:r>
        <w:rPr>
          <w:rFonts w:cs="Times New Roman"/>
          <w:sz w:val="22"/>
          <w:szCs w:val="22"/>
        </w:rPr>
      </w:r>
    </w:p>
    <w:p>
      <w:pPr>
        <w:pStyle w:val="Contedodatabela"/>
        <w:spacing w:lineRule="auto" w:line="360"/>
        <w:jc w:val="center"/>
        <w:rPr>
          <w:rFonts w:cs="Times New Roman"/>
          <w:sz w:val="22"/>
          <w:szCs w:val="22"/>
        </w:rPr>
      </w:pPr>
      <w:r>
        <w:rPr>
          <w:rFonts w:cs="Times New Roman"/>
          <w:sz w:val="22"/>
          <w:szCs w:val="22"/>
        </w:rPr>
        <w:t>Nome do Fornecedor 1</w:t>
      </w:r>
    </w:p>
    <w:p>
      <w:pPr>
        <w:pStyle w:val="Contedodatabela"/>
        <w:spacing w:lineRule="auto" w:line="360"/>
        <w:jc w:val="center"/>
        <w:rPr>
          <w:rFonts w:cs="Times New Roman"/>
          <w:sz w:val="22"/>
          <w:szCs w:val="22"/>
        </w:rPr>
      </w:pPr>
      <w:r>
        <w:rPr>
          <w:rFonts w:cs="Times New Roman"/>
          <w:sz w:val="22"/>
          <w:szCs w:val="22"/>
        </w:rPr>
        <w:t>CPF</w:t>
      </w:r>
    </w:p>
    <w:p>
      <w:pPr>
        <w:pStyle w:val="Contedodatabela"/>
        <w:spacing w:lineRule="auto" w:line="360"/>
        <w:jc w:val="center"/>
        <w:rPr>
          <w:rFonts w:cs="Times New Roman"/>
          <w:sz w:val="22"/>
          <w:szCs w:val="22"/>
        </w:rPr>
      </w:pPr>
      <w:r>
        <w:rPr>
          <w:rFonts w:cs="Times New Roman"/>
          <w:sz w:val="22"/>
          <w:szCs w:val="22"/>
        </w:rPr>
        <w:t>Nome do Fornecedor 2</w:t>
      </w:r>
    </w:p>
    <w:p>
      <w:pPr>
        <w:pStyle w:val="Normal"/>
        <w:spacing w:lineRule="auto" w:line="360" w:before="0" w:after="200"/>
        <w:jc w:val="center"/>
        <w:rPr/>
      </w:pPr>
      <w:bookmarkStart w:id="1" w:name="_GoBack4"/>
      <w:bookmarkStart w:id="2" w:name="_GoBack2"/>
      <w:bookmarkStart w:id="3" w:name="_GoBack5"/>
      <w:bookmarkStart w:id="4" w:name="_GoBack3"/>
      <w:bookmarkEnd w:id="1"/>
      <w:bookmarkEnd w:id="2"/>
      <w:bookmarkEnd w:id="3"/>
      <w:bookmarkEnd w:id="4"/>
      <w:r>
        <w:rPr>
          <w:rFonts w:cs="Times New Roman" w:ascii="Times New Roman" w:hAnsi="Times New Roman"/>
        </w:rPr>
        <w:t>CPF</w:t>
      </w:r>
    </w:p>
    <w:sectPr>
      <w:headerReference w:type="default" r:id="rId7"/>
      <w:footerReference w:type="default" r:id="rId8"/>
      <w:type w:val="nextPage"/>
      <w:pgSz w:w="11906" w:h="16838"/>
      <w:pgMar w:left="1701" w:right="1701" w:header="708" w:top="141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Ecofont_Spranq_eco_Sans">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Light">
    <w:charset w:val="00"/>
    <w:family w:val="roman"/>
    <w:pitch w:val="variable"/>
  </w:font>
  <w:font w:name="Centaur">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0"/>
      <w:jc w:val="center"/>
      <w:rPr>
        <w:rFonts w:ascii="Arial" w:hAnsi="Arial" w:cs="Arial"/>
        <w:sz w:val="16"/>
      </w:rPr>
    </w:pPr>
    <w:r>
      <w:rPr>
        <w:rFonts w:cs="Arial" w:ascii="Arial" w:hAnsi="Arial"/>
        <w:sz w:val="16"/>
      </w:rPr>
      <w:t>Rua Erechim, 860 – 98280-000 – Planalto– Panambi – RS</w:t>
    </w:r>
  </w:p>
  <w:p>
    <w:pPr>
      <w:pStyle w:val="Normal"/>
      <w:spacing w:before="0" w:after="0"/>
      <w:jc w:val="center"/>
      <w:rPr>
        <w:rFonts w:ascii="Arial" w:hAnsi="Arial" w:cs="Arial"/>
        <w:sz w:val="16"/>
      </w:rPr>
    </w:pPr>
    <w:r>
      <w:rPr>
        <w:rFonts w:cs="Arial" w:ascii="Arial" w:hAnsi="Arial"/>
        <w:sz w:val="16"/>
      </w:rPr>
      <w:t>Fone/FAX: (55) 3376 8800</w:t>
    </w:r>
  </w:p>
  <w:p>
    <w:pPr>
      <w:pStyle w:val="Rodap"/>
      <w:jc w:val="center"/>
      <w:rPr/>
    </w:pPr>
    <w:r>
      <w:rPr>
        <w:rFonts w:cs="Arial" w:ascii="Arial" w:hAnsi="Arial"/>
        <w:sz w:val="16"/>
        <w:szCs w:val="16"/>
      </w:rPr>
      <w:t xml:space="preserve">E-mail: </w:t>
    </w:r>
    <w:hyperlink r:id="rId1">
      <w:r>
        <w:rPr>
          <w:rStyle w:val="LinkdaInternet"/>
          <w:rFonts w:cs="Arial" w:ascii="Arial" w:hAnsi="Arial"/>
          <w:sz w:val="16"/>
          <w:szCs w:val="16"/>
        </w:rPr>
        <w:t>licitacao.pb@iffarroupilha.edu.br</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egenda1"/>
      <w:spacing w:lineRule="auto" w:line="276"/>
      <w:rPr>
        <w:rFonts w:ascii="Arial" w:hAnsi="Arial" w:cs="Arial"/>
        <w:b/>
        <w:b/>
        <w:sz w:val="22"/>
        <w:szCs w:val="22"/>
      </w:rPr>
    </w:pPr>
    <w:r>
      <w:rPr/>
      <w:drawing>
        <wp:inline distT="0" distB="0" distL="0" distR="0">
          <wp:extent cx="723900" cy="733425"/>
          <wp:effectExtent l="0" t="0" r="0" b="0"/>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723900" cy="733425"/>
                  </a:xfrm>
                  <a:prstGeom prst="rect">
                    <a:avLst/>
                  </a:prstGeom>
                </pic:spPr>
              </pic:pic>
            </a:graphicData>
          </a:graphic>
        </wp:inline>
      </w:drawing>
    </w:r>
  </w:p>
  <w:p>
    <w:pPr>
      <w:pStyle w:val="Legenda1"/>
      <w:spacing w:lineRule="auto" w:line="276"/>
      <w:rPr>
        <w:rFonts w:ascii="Arial" w:hAnsi="Arial" w:cs="Arial"/>
        <w:b/>
        <w:b/>
        <w:sz w:val="16"/>
        <w:szCs w:val="16"/>
      </w:rPr>
    </w:pPr>
    <w:r>
      <w:rPr>
        <w:rFonts w:cs="Arial" w:ascii="Arial" w:hAnsi="Arial"/>
        <w:b/>
        <w:sz w:val="16"/>
        <w:szCs w:val="16"/>
      </w:rPr>
      <w:t>MINISTÉRIO DA EDUCAÇÃO</w:t>
    </w:r>
  </w:p>
  <w:p>
    <w:pPr>
      <w:pStyle w:val="Normal"/>
      <w:tabs>
        <w:tab w:val="left" w:pos="709" w:leader="none"/>
      </w:tabs>
      <w:spacing w:before="0" w:after="0"/>
      <w:jc w:val="center"/>
      <w:rPr>
        <w:rFonts w:ascii="Arial" w:hAnsi="Arial" w:cs="Arial"/>
        <w:b/>
        <w:b/>
        <w:sz w:val="16"/>
        <w:szCs w:val="16"/>
      </w:rPr>
    </w:pPr>
    <w:r>
      <w:rPr>
        <w:rFonts w:cs="Arial" w:ascii="Arial" w:hAnsi="Arial"/>
        <w:b/>
        <w:sz w:val="16"/>
        <w:szCs w:val="16"/>
      </w:rPr>
      <w:t>INSTITUTO FEDERAL FARROUPILHA</w:t>
    </w:r>
  </w:p>
  <w:p>
    <w:pPr>
      <w:pStyle w:val="Normal"/>
      <w:tabs>
        <w:tab w:val="left" w:pos="709" w:leader="none"/>
      </w:tabs>
      <w:jc w:val="center"/>
      <w:rPr>
        <w:rFonts w:ascii="Arial" w:hAnsi="Arial" w:cs="Arial"/>
        <w:b/>
        <w:b/>
        <w:sz w:val="16"/>
        <w:szCs w:val="16"/>
      </w:rPr>
    </w:pPr>
    <w:r>
      <w:rPr>
        <w:rFonts w:cs="Arial" w:ascii="Arial" w:hAnsi="Arial"/>
        <w:b/>
        <w:sz w:val="16"/>
        <w:szCs w:val="16"/>
      </w:rPr>
      <w:t>CAMPUS PANAMBI</w: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ind w:left="432" w:hanging="432"/>
      </w:pPr>
    </w:lvl>
    <w:lvl w:ilvl="1">
      <w:start w:val="1"/>
      <w:pStyle w:val="Ttulo2"/>
      <w:numFmt w:val="decimal"/>
      <w:lvlText w:val="%1.%2"/>
      <w:lvlJc w:val="left"/>
      <w:pPr>
        <w:ind w:left="576" w:hanging="576"/>
      </w:pPr>
      <w:rPr>
        <w:sz w:val="22"/>
        <w:b w:val="false"/>
        <w:szCs w:val="22"/>
        <w:color w:val="000000"/>
      </w:rPr>
    </w:lvl>
    <w:lvl w:ilvl="2">
      <w:start w:val="1"/>
      <w:pStyle w:val="Ttulo3"/>
      <w:numFmt w:val="decimal"/>
      <w:lvlText w:val="%1.%2.%3"/>
      <w:lvlJc w:val="left"/>
      <w:pPr>
        <w:ind w:left="720" w:hanging="720"/>
      </w:pPr>
    </w:lvl>
    <w:lvl w:ilvl="3">
      <w:start w:val="1"/>
      <w:pStyle w:val="Ttulo4"/>
      <w:numFmt w:val="decimal"/>
      <w:lvlText w:val="%1.%2.%3.%4"/>
      <w:lvlJc w:val="left"/>
      <w:pPr>
        <w:ind w:left="864" w:hanging="864"/>
      </w:pPr>
    </w:lvl>
    <w:lvl w:ilvl="4">
      <w:start w:val="1"/>
      <w:pStyle w:val="Ttulo5"/>
      <w:numFmt w:val="decimal"/>
      <w:lvlText w:val="%1.%2.%3.%4.%5"/>
      <w:lvlJc w:val="left"/>
      <w:pPr>
        <w:ind w:left="1008" w:hanging="1008"/>
      </w:pPr>
    </w:lvl>
    <w:lvl w:ilvl="5">
      <w:start w:val="1"/>
      <w:pStyle w:val="Ttulo6"/>
      <w:numFmt w:val="decimal"/>
      <w:lvlText w:val="%1.%2.%3.%4.%5.%6"/>
      <w:lvlJc w:val="left"/>
      <w:pPr>
        <w:ind w:left="1152" w:hanging="1152"/>
      </w:pPr>
    </w:lvl>
    <w:lvl w:ilvl="6">
      <w:start w:val="1"/>
      <w:pStyle w:val="Ttulo7"/>
      <w:numFmt w:val="decimal"/>
      <w:lvlText w:val="%1.%2.%3.%4.%5.%6.%7"/>
      <w:lvlJc w:val="left"/>
      <w:pPr>
        <w:ind w:left="1296" w:hanging="1296"/>
      </w:pPr>
    </w:lvl>
    <w:lvl w:ilvl="7">
      <w:start w:val="1"/>
      <w:pStyle w:val="Ttulo8"/>
      <w:numFmt w:val="decimal"/>
      <w:lvlText w:val="%1.%2.%3.%4.%5.%6.%7.%8"/>
      <w:lvlJc w:val="left"/>
      <w:pPr>
        <w:ind w:left="1440" w:hanging="1440"/>
      </w:pPr>
    </w:lvl>
    <w:lvl w:ilvl="8">
      <w:start w:val="1"/>
      <w:pStyle w:val="Ttulo9"/>
      <w:numFmt w:val="decimal"/>
      <w:lvlText w:val="%1.%2.%3.%4.%5.%6.%7.%8.%9"/>
      <w:lvlJc w:val="left"/>
      <w:pPr>
        <w:ind w:left="1584" w:hanging="1584"/>
      </w:pPr>
    </w:lvl>
  </w:abstractNum>
  <w:abstractNum w:abstractNumId="2">
    <w:lvl w:ilvl="0">
      <w:start w:val="1"/>
      <w:numFmt w:val="decimal"/>
      <w:lvlText w:val="%1."/>
      <w:lvlJc w:val="left"/>
      <w:pPr>
        <w:ind w:left="360" w:hanging="360"/>
      </w:pPr>
      <w:rPr>
        <w:sz w:val="22"/>
        <w:b/>
        <w:szCs w:val="22"/>
        <w:rFonts w:ascii="Times New Roman" w:hAnsi="Times New Roman" w:cs="Calibri"/>
      </w:rPr>
    </w:lvl>
    <w:lvl w:ilvl="1">
      <w:start w:val="1"/>
      <w:numFmt w:val="decimal"/>
      <w:lvlText w:val="%1.%2."/>
      <w:lvlJc w:val="left"/>
      <w:pPr>
        <w:ind w:left="792" w:hanging="432"/>
      </w:pPr>
      <w:rPr>
        <w:sz w:val="22"/>
        <w:b/>
        <w:szCs w:val="22"/>
        <w:rFonts w:ascii="Times New Roman" w:hAnsi="Times New Roman" w:cs="Calibr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decimal"/>
      <w:lvlText w:val="%1."/>
      <w:lvlJc w:val="left"/>
      <w:pPr>
        <w:ind w:left="360" w:hanging="360"/>
      </w:pPr>
      <w:rPr>
        <w:sz w:val="22"/>
        <w:b/>
        <w:rFonts w:ascii="Times New Roman" w:hAnsi="Times New Roman"/>
      </w:rPr>
    </w:lvl>
    <w:lvl w:ilvl="1">
      <w:start w:val="1"/>
      <w:numFmt w:val="decimal"/>
      <w:lvlText w:val="%1.%2."/>
      <w:lvlJc w:val="left"/>
      <w:pPr>
        <w:ind w:left="792" w:hanging="432"/>
      </w:pPr>
      <w:rPr>
        <w:sz w:val="22"/>
        <w:b/>
        <w:rFonts w:ascii="Times New Roman" w:hAnsi="Times New Roman"/>
        <w:color w:val="00000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rPr>
        <w:b/>
        <w:rFonts w:ascii="Times New Roman" w:hAnsi="Times New Roman" w:cs="Times New Roman"/>
      </w:rPr>
    </w:lvl>
    <w:lvl w:ilvl="1">
      <w:start w:val="1"/>
      <w:numFmt w:val="decimal"/>
      <w:lvlText w:val="%1.%2."/>
      <w:lvlJc w:val="left"/>
      <w:pPr>
        <w:ind w:left="792" w:hanging="432"/>
      </w:pPr>
      <w:rPr>
        <w:b/>
        <w:rFonts w:ascii="Times New Roman" w:hAnsi="Times New Roman" w:cs="Times New Roman"/>
      </w:rPr>
    </w:lvl>
    <w:lvl w:ilvl="2">
      <w:start w:val="1"/>
      <w:numFmt w:val="decimal"/>
      <w:lvlText w:val="%1.%2.%3."/>
      <w:lvlJc w:val="left"/>
      <w:pPr>
        <w:ind w:left="1224" w:hanging="504"/>
      </w:pPr>
      <w:rPr>
        <w:b/>
        <w:rFonts w:ascii="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5"/>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d1873"/>
    <w:pPr>
      <w:widowControl/>
      <w:bidi w:val="0"/>
      <w:spacing w:lineRule="auto" w:line="276" w:before="0" w:after="200"/>
      <w:jc w:val="left"/>
    </w:pPr>
    <w:rPr>
      <w:rFonts w:ascii="Calibri" w:hAnsi="Calibri" w:eastAsia="Calibri" w:cs=""/>
      <w:color w:val="00000A"/>
      <w:kern w:val="0"/>
      <w:sz w:val="22"/>
      <w:szCs w:val="22"/>
      <w:lang w:val="pt-BR" w:eastAsia="en-US" w:bidi="ar-SA"/>
    </w:rPr>
  </w:style>
  <w:style w:type="paragraph" w:styleId="Ttulo1">
    <w:name w:val="Heading 1"/>
    <w:basedOn w:val="Normal"/>
    <w:next w:val="Normal"/>
    <w:link w:val="Ttulo1Char"/>
    <w:uiPriority w:val="9"/>
    <w:qFormat/>
    <w:rsid w:val="000178ed"/>
    <w:pPr>
      <w:keepNext/>
      <w:keepLines/>
      <w:numPr>
        <w:ilvl w:val="0"/>
        <w:numId w:val="1"/>
      </w:numPr>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uiPriority w:val="9"/>
    <w:unhideWhenUsed/>
    <w:qFormat/>
    <w:rsid w:val="00062f9c"/>
    <w:pPr>
      <w:keepNext/>
      <w:keepLines/>
      <w:numPr>
        <w:ilvl w:val="1"/>
        <w:numId w:val="1"/>
      </w:numPr>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semiHidden/>
    <w:unhideWhenUsed/>
    <w:qFormat/>
    <w:rsid w:val="00062f9c"/>
    <w:pPr>
      <w:keepNext/>
      <w:keepLines/>
      <w:numPr>
        <w:ilvl w:val="2"/>
        <w:numId w:val="1"/>
      </w:numPr>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semiHidden/>
    <w:unhideWhenUsed/>
    <w:qFormat/>
    <w:rsid w:val="00062f9c"/>
    <w:pPr>
      <w:keepNext/>
      <w:keepLines/>
      <w:numPr>
        <w:ilvl w:val="3"/>
        <w:numId w:val="1"/>
      </w:numPr>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Ttulo5">
    <w:name w:val="Heading 5"/>
    <w:basedOn w:val="Normal"/>
    <w:next w:val="Normal"/>
    <w:link w:val="Ttulo5Char"/>
    <w:uiPriority w:val="9"/>
    <w:semiHidden/>
    <w:unhideWhenUsed/>
    <w:qFormat/>
    <w:rsid w:val="00062f9c"/>
    <w:pPr>
      <w:keepNext/>
      <w:keepLines/>
      <w:numPr>
        <w:ilvl w:val="4"/>
        <w:numId w:val="1"/>
      </w:numPr>
      <w:spacing w:before="200" w:after="0"/>
      <w:outlineLvl w:val="4"/>
    </w:pPr>
    <w:rPr>
      <w:rFonts w:ascii="Cambria" w:hAnsi="Cambria" w:eastAsia="" w:cs="" w:asciiTheme="majorHAnsi" w:cstheme="majorBidi" w:eastAsiaTheme="majorEastAsia" w:hAnsiTheme="majorHAnsi"/>
      <w:color w:val="243F60" w:themeColor="accent1" w:themeShade="7f"/>
    </w:rPr>
  </w:style>
  <w:style w:type="paragraph" w:styleId="Ttulo6">
    <w:name w:val="Heading 6"/>
    <w:basedOn w:val="Normal"/>
    <w:next w:val="Normal"/>
    <w:link w:val="Ttulo6Char"/>
    <w:uiPriority w:val="9"/>
    <w:semiHidden/>
    <w:unhideWhenUsed/>
    <w:qFormat/>
    <w:rsid w:val="00062f9c"/>
    <w:pPr>
      <w:keepNext/>
      <w:keepLines/>
      <w:numPr>
        <w:ilvl w:val="5"/>
        <w:numId w:val="1"/>
      </w:numPr>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Ttulo7">
    <w:name w:val="Heading 7"/>
    <w:basedOn w:val="Normal"/>
    <w:next w:val="Normal"/>
    <w:link w:val="Ttulo7Char"/>
    <w:uiPriority w:val="9"/>
    <w:semiHidden/>
    <w:unhideWhenUsed/>
    <w:qFormat/>
    <w:rsid w:val="00062f9c"/>
    <w:pPr>
      <w:keepNext/>
      <w:keepLines/>
      <w:numPr>
        <w:ilvl w:val="6"/>
        <w:numId w:val="1"/>
      </w:numPr>
      <w:spacing w:before="200" w:after="0"/>
      <w:outlineLvl w:val="6"/>
    </w:pPr>
    <w:rPr>
      <w:rFonts w:ascii="Cambria" w:hAnsi="Cambria" w:eastAsia="" w:cs="" w:asciiTheme="majorHAnsi" w:cstheme="majorBidi" w:eastAsiaTheme="majorEastAsia" w:hAnsiTheme="majorHAnsi"/>
      <w:i/>
      <w:iCs/>
      <w:color w:val="404040" w:themeColor="text1" w:themeTint="bf"/>
    </w:rPr>
  </w:style>
  <w:style w:type="paragraph" w:styleId="Ttulo8">
    <w:name w:val="Heading 8"/>
    <w:basedOn w:val="Normal"/>
    <w:next w:val="Normal"/>
    <w:link w:val="Ttulo8Char"/>
    <w:uiPriority w:val="9"/>
    <w:semiHidden/>
    <w:unhideWhenUsed/>
    <w:qFormat/>
    <w:rsid w:val="00062f9c"/>
    <w:pPr>
      <w:keepNext/>
      <w:keepLines/>
      <w:numPr>
        <w:ilvl w:val="7"/>
        <w:numId w:val="1"/>
      </w:numPr>
      <w:spacing w:before="200" w:after="0"/>
      <w:outlineLvl w:val="7"/>
    </w:pPr>
    <w:rPr>
      <w:rFonts w:ascii="Cambria" w:hAnsi="Cambria" w:eastAsia="" w:cs="" w:asciiTheme="majorHAnsi" w:cstheme="majorBidi" w:eastAsiaTheme="majorEastAsia" w:hAnsiTheme="majorHAnsi"/>
      <w:color w:val="404040" w:themeColor="text1" w:themeTint="bf"/>
      <w:sz w:val="20"/>
      <w:szCs w:val="20"/>
    </w:rPr>
  </w:style>
  <w:style w:type="paragraph" w:styleId="Ttulo9">
    <w:name w:val="Heading 9"/>
    <w:basedOn w:val="Normal"/>
    <w:next w:val="Normal"/>
    <w:link w:val="Ttulo9Char"/>
    <w:uiPriority w:val="9"/>
    <w:semiHidden/>
    <w:unhideWhenUsed/>
    <w:qFormat/>
    <w:rsid w:val="00062f9c"/>
    <w:pPr>
      <w:keepNext/>
      <w:keepLines/>
      <w:numPr>
        <w:ilvl w:val="8"/>
        <w:numId w:val="1"/>
      </w:numPr>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LinkdaInternet" w:customStyle="1">
    <w:name w:val="Link da Internet"/>
    <w:basedOn w:val="DefaultParagraphFont"/>
    <w:unhideWhenUsed/>
    <w:rsid w:val="004e6888"/>
    <w:rPr>
      <w:color w:val="0000FF"/>
      <w:u w:val="single"/>
    </w:rPr>
  </w:style>
  <w:style w:type="character" w:styleId="FollowedHyperlink">
    <w:name w:val="FollowedHyperlink"/>
    <w:basedOn w:val="DefaultParagraphFont"/>
    <w:uiPriority w:val="99"/>
    <w:semiHidden/>
    <w:unhideWhenUsed/>
    <w:qFormat/>
    <w:rsid w:val="004e6888"/>
    <w:rPr>
      <w:color w:val="800080"/>
      <w:u w:val="single"/>
    </w:rPr>
  </w:style>
  <w:style w:type="character" w:styleId="CabealhoChar" w:customStyle="1">
    <w:name w:val="Cabeçalho Char"/>
    <w:basedOn w:val="DefaultParagraphFont"/>
    <w:link w:val="Cabealho"/>
    <w:uiPriority w:val="99"/>
    <w:qFormat/>
    <w:rsid w:val="007e6868"/>
    <w:rPr/>
  </w:style>
  <w:style w:type="character" w:styleId="RodapChar" w:customStyle="1">
    <w:name w:val="Rodapé Char"/>
    <w:basedOn w:val="DefaultParagraphFont"/>
    <w:link w:val="Rodap"/>
    <w:uiPriority w:val="99"/>
    <w:qFormat/>
    <w:rsid w:val="007e6868"/>
    <w:rPr/>
  </w:style>
  <w:style w:type="character" w:styleId="TextodebaloChar" w:customStyle="1">
    <w:name w:val="Texto de balão Char"/>
    <w:basedOn w:val="DefaultParagraphFont"/>
    <w:link w:val="Textodebalo"/>
    <w:uiPriority w:val="99"/>
    <w:semiHidden/>
    <w:qFormat/>
    <w:rsid w:val="007e6868"/>
    <w:rPr>
      <w:rFonts w:ascii="Tahoma" w:hAnsi="Tahoma" w:cs="Tahoma"/>
      <w:sz w:val="16"/>
      <w:szCs w:val="16"/>
    </w:rPr>
  </w:style>
  <w:style w:type="character" w:styleId="Ttulo1Char" w:customStyle="1">
    <w:name w:val="Título 1 Char"/>
    <w:basedOn w:val="DefaultParagraphFont"/>
    <w:link w:val="Ttulo1"/>
    <w:uiPriority w:val="9"/>
    <w:qFormat/>
    <w:rsid w:val="000178ed"/>
    <w:rPr>
      <w:rFonts w:ascii="Cambria" w:hAnsi="Cambria" w:eastAsia="" w:cs="" w:asciiTheme="majorHAnsi" w:cstheme="majorBidi" w:eastAsiaTheme="majorEastAsia" w:hAnsiTheme="majorHAnsi"/>
      <w:b/>
      <w:bCs/>
      <w:color w:val="365F91" w:themeColor="accent1" w:themeShade="bf"/>
      <w:sz w:val="28"/>
      <w:szCs w:val="28"/>
    </w:rPr>
  </w:style>
  <w:style w:type="character" w:styleId="Strong">
    <w:name w:val="Strong"/>
    <w:basedOn w:val="DefaultParagraphFont"/>
    <w:uiPriority w:val="22"/>
    <w:qFormat/>
    <w:rsid w:val="0063649f"/>
    <w:rPr>
      <w:b/>
      <w:bCs/>
    </w:rPr>
  </w:style>
  <w:style w:type="character" w:styleId="Ttulo2Char" w:customStyle="1">
    <w:name w:val="Título 2 Char"/>
    <w:basedOn w:val="DefaultParagraphFont"/>
    <w:link w:val="Ttulo2"/>
    <w:uiPriority w:val="9"/>
    <w:qFormat/>
    <w:rsid w:val="00062f9c"/>
    <w:rPr>
      <w:rFonts w:ascii="Cambria" w:hAnsi="Cambria" w:eastAsia="" w:cs="" w:asciiTheme="majorHAnsi" w:cstheme="majorBidi" w:eastAsiaTheme="majorEastAsia" w:hAnsiTheme="majorHAnsi"/>
      <w:b/>
      <w:bCs/>
      <w:color w:val="4F81BD" w:themeColor="accent1"/>
      <w:sz w:val="26"/>
      <w:szCs w:val="26"/>
    </w:rPr>
  </w:style>
  <w:style w:type="character" w:styleId="Ttulo3Char" w:customStyle="1">
    <w:name w:val="Título 3 Char"/>
    <w:basedOn w:val="DefaultParagraphFont"/>
    <w:link w:val="Ttulo3"/>
    <w:uiPriority w:val="9"/>
    <w:semiHidden/>
    <w:qFormat/>
    <w:rsid w:val="00062f9c"/>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semiHidden/>
    <w:qFormat/>
    <w:rsid w:val="00062f9c"/>
    <w:rPr>
      <w:rFonts w:ascii="Cambria" w:hAnsi="Cambria" w:eastAsia="" w:cs="" w:asciiTheme="majorHAnsi" w:cstheme="majorBidi" w:eastAsiaTheme="majorEastAsia" w:hAnsiTheme="majorHAnsi"/>
      <w:b/>
      <w:bCs/>
      <w:i/>
      <w:iCs/>
      <w:color w:val="4F81BD" w:themeColor="accent1"/>
    </w:rPr>
  </w:style>
  <w:style w:type="character" w:styleId="Ttulo5Char" w:customStyle="1">
    <w:name w:val="Título 5 Char"/>
    <w:basedOn w:val="DefaultParagraphFont"/>
    <w:link w:val="Ttulo5"/>
    <w:uiPriority w:val="9"/>
    <w:semiHidden/>
    <w:qFormat/>
    <w:rsid w:val="00062f9c"/>
    <w:rPr>
      <w:rFonts w:ascii="Cambria" w:hAnsi="Cambria" w:eastAsia="" w:cs="" w:asciiTheme="majorHAnsi" w:cstheme="majorBidi" w:eastAsiaTheme="majorEastAsia" w:hAnsiTheme="majorHAnsi"/>
      <w:color w:val="243F60" w:themeColor="accent1" w:themeShade="7f"/>
    </w:rPr>
  </w:style>
  <w:style w:type="character" w:styleId="Ttulo6Char" w:customStyle="1">
    <w:name w:val="Título 6 Char"/>
    <w:basedOn w:val="DefaultParagraphFont"/>
    <w:link w:val="Ttulo6"/>
    <w:uiPriority w:val="9"/>
    <w:semiHidden/>
    <w:qFormat/>
    <w:rsid w:val="00062f9c"/>
    <w:rPr>
      <w:rFonts w:ascii="Cambria" w:hAnsi="Cambria" w:eastAsia="" w:cs="" w:asciiTheme="majorHAnsi" w:cstheme="majorBidi" w:eastAsiaTheme="majorEastAsia" w:hAnsiTheme="majorHAnsi"/>
      <w:i/>
      <w:iCs/>
      <w:color w:val="243F60" w:themeColor="accent1" w:themeShade="7f"/>
    </w:rPr>
  </w:style>
  <w:style w:type="character" w:styleId="Ttulo7Char" w:customStyle="1">
    <w:name w:val="Título 7 Char"/>
    <w:basedOn w:val="DefaultParagraphFont"/>
    <w:link w:val="Ttulo7"/>
    <w:uiPriority w:val="9"/>
    <w:semiHidden/>
    <w:qFormat/>
    <w:rsid w:val="00062f9c"/>
    <w:rPr>
      <w:rFonts w:ascii="Cambria" w:hAnsi="Cambria" w:eastAsia="" w:cs="" w:asciiTheme="majorHAnsi" w:cstheme="majorBidi" w:eastAsiaTheme="majorEastAsia" w:hAnsiTheme="majorHAnsi"/>
      <w:i/>
      <w:iCs/>
      <w:color w:val="404040" w:themeColor="text1" w:themeTint="bf"/>
    </w:rPr>
  </w:style>
  <w:style w:type="character" w:styleId="Ttulo8Char" w:customStyle="1">
    <w:name w:val="Título 8 Char"/>
    <w:basedOn w:val="DefaultParagraphFont"/>
    <w:link w:val="Ttulo8"/>
    <w:uiPriority w:val="9"/>
    <w:semiHidden/>
    <w:qFormat/>
    <w:rsid w:val="00062f9c"/>
    <w:rPr>
      <w:rFonts w:ascii="Cambria" w:hAnsi="Cambria" w:eastAsia="" w:cs="" w:asciiTheme="majorHAnsi" w:cstheme="majorBidi" w:eastAsiaTheme="majorEastAsia" w:hAnsiTheme="majorHAnsi"/>
      <w:color w:val="404040" w:themeColor="text1" w:themeTint="bf"/>
      <w:sz w:val="20"/>
      <w:szCs w:val="20"/>
    </w:rPr>
  </w:style>
  <w:style w:type="character" w:styleId="Ttulo9Char" w:customStyle="1">
    <w:name w:val="Título 9 Char"/>
    <w:basedOn w:val="DefaultParagraphFont"/>
    <w:link w:val="Ttulo9"/>
    <w:uiPriority w:val="9"/>
    <w:semiHidden/>
    <w:qFormat/>
    <w:rsid w:val="00062f9c"/>
    <w:rPr>
      <w:rFonts w:ascii="Cambria" w:hAnsi="Cambria" w:eastAsia="" w:cs="" w:asciiTheme="majorHAnsi" w:cstheme="majorBidi" w:eastAsiaTheme="majorEastAsia" w:hAnsiTheme="majorHAnsi"/>
      <w:i/>
      <w:iCs/>
      <w:color w:val="404040" w:themeColor="text1" w:themeTint="bf"/>
      <w:sz w:val="20"/>
      <w:szCs w:val="20"/>
    </w:rPr>
  </w:style>
  <w:style w:type="character" w:styleId="Annotationreference">
    <w:name w:val="annotation reference"/>
    <w:basedOn w:val="DefaultParagraphFont"/>
    <w:uiPriority w:val="99"/>
    <w:semiHidden/>
    <w:unhideWhenUsed/>
    <w:qFormat/>
    <w:rsid w:val="00f51165"/>
    <w:rPr>
      <w:sz w:val="16"/>
      <w:szCs w:val="16"/>
    </w:rPr>
  </w:style>
  <w:style w:type="character" w:styleId="TextodecomentrioChar" w:customStyle="1">
    <w:name w:val="Texto de comentário Char"/>
    <w:basedOn w:val="DefaultParagraphFont"/>
    <w:link w:val="Textodecomentrio"/>
    <w:uiPriority w:val="99"/>
    <w:semiHidden/>
    <w:qFormat/>
    <w:rsid w:val="00f51165"/>
    <w:rPr>
      <w:sz w:val="20"/>
      <w:szCs w:val="20"/>
    </w:rPr>
  </w:style>
  <w:style w:type="character" w:styleId="AssuntodocomentrioChar" w:customStyle="1">
    <w:name w:val="Assunto do comentário Char"/>
    <w:basedOn w:val="TextodecomentrioChar"/>
    <w:link w:val="Assuntodocomentrio"/>
    <w:uiPriority w:val="99"/>
    <w:semiHidden/>
    <w:qFormat/>
    <w:rsid w:val="00f51165"/>
    <w:rPr>
      <w:b/>
      <w:bCs/>
      <w:sz w:val="20"/>
      <w:szCs w:val="20"/>
    </w:rPr>
  </w:style>
  <w:style w:type="character" w:styleId="CorpodetextoChar" w:customStyle="1">
    <w:name w:val="Corpo de texto Char"/>
    <w:basedOn w:val="DefaultParagraphFont"/>
    <w:link w:val="Corpodetexto"/>
    <w:qFormat/>
    <w:rsid w:val="00613100"/>
    <w:rPr>
      <w:rFonts w:ascii="Times New Roman" w:hAnsi="Times New Roman" w:eastAsia="Arial Unicode MS" w:cs="Times New Roman"/>
      <w:sz w:val="24"/>
      <w:szCs w:val="20"/>
      <w:lang w:eastAsia="pt-BR"/>
    </w:rPr>
  </w:style>
  <w:style w:type="character" w:styleId="CitaoChar" w:customStyle="1">
    <w:name w:val="Citação Char"/>
    <w:basedOn w:val="DefaultParagraphFont"/>
    <w:link w:val="Citao"/>
    <w:qFormat/>
    <w:rsid w:val="00613100"/>
    <w:rPr>
      <w:rFonts w:ascii="Ecofont_Spranq_eco_Sans" w:hAnsi="Ecofont_Spranq_eco_Sans" w:eastAsia="Calibri" w:cs="Tahoma"/>
      <w:i/>
      <w:iCs/>
      <w:color w:val="000000"/>
      <w:sz w:val="20"/>
      <w:szCs w:val="24"/>
      <w:shd w:fill="FFFFCC" w:val="clear"/>
    </w:rPr>
  </w:style>
  <w:style w:type="character" w:styleId="Nivel2Char" w:customStyle="1">
    <w:name w:val="Nivel 2 Char"/>
    <w:basedOn w:val="DefaultParagraphFont"/>
    <w:link w:val="Nivel2"/>
    <w:qFormat/>
    <w:rsid w:val="00613100"/>
    <w:rPr>
      <w:rFonts w:ascii="Ecofont_Spranq_eco_Sans" w:hAnsi="Ecofont_Spranq_eco_Sans" w:eastAsia="Arial Unicode MS" w:cs="Times New Roman"/>
      <w:sz w:val="20"/>
      <w:szCs w:val="20"/>
      <w:lang w:eastAsia="pt-BR"/>
    </w:rPr>
  </w:style>
  <w:style w:type="character" w:styleId="Nivel5Char" w:customStyle="1">
    <w:name w:val="Nivel 5 Char"/>
    <w:basedOn w:val="DefaultParagraphFont"/>
    <w:link w:val="Nivel5"/>
    <w:qFormat/>
    <w:rsid w:val="00613100"/>
    <w:rPr>
      <w:rFonts w:ascii="Ecofont_Spranq_eco_Sans" w:hAnsi="Ecofont_Spranq_eco_Sans" w:eastAsia="Arial Unicode MS" w:cs="Arial"/>
      <w:sz w:val="20"/>
      <w:szCs w:val="20"/>
      <w:lang w:eastAsia="pt-BR"/>
    </w:rPr>
  </w:style>
  <w:style w:type="character" w:styleId="RecuodecorpodetextoChar" w:customStyle="1">
    <w:name w:val="Recuo de corpo de texto Char"/>
    <w:basedOn w:val="DefaultParagraphFont"/>
    <w:link w:val="Recuodecorpodetexto"/>
    <w:uiPriority w:val="99"/>
    <w:qFormat/>
    <w:rsid w:val="00a923a2"/>
    <w:rPr>
      <w:rFonts w:eastAsia="Times New Roman" w:cs="Calibri" w:cstheme="minorHAnsi"/>
      <w:lang w:eastAsia="pt-BR"/>
    </w:rPr>
  </w:style>
  <w:style w:type="character" w:styleId="Corpodetexto2Char" w:customStyle="1">
    <w:name w:val="Corpo de texto 2 Char"/>
    <w:basedOn w:val="DefaultParagraphFont"/>
    <w:link w:val="Corpodetexto2"/>
    <w:uiPriority w:val="99"/>
    <w:qFormat/>
    <w:rsid w:val="007268ed"/>
    <w:rPr>
      <w:rFonts w:eastAsia="Times New Roman" w:cs="Calibri" w:cstheme="minorHAnsi"/>
      <w:lang w:eastAsia="pt-BR"/>
    </w:rPr>
  </w:style>
  <w:style w:type="character" w:styleId="Nivel3Char" w:customStyle="1">
    <w:name w:val="Nivel 3 Char"/>
    <w:basedOn w:val="DefaultParagraphFont"/>
    <w:link w:val="Nivel3"/>
    <w:qFormat/>
    <w:rsid w:val="00c35ada"/>
    <w:rPr>
      <w:rFonts w:ascii="Ecofont_Spranq_eco_Sans" w:hAnsi="Ecofont_Spranq_eco_Sans" w:eastAsia="Arial Unicode MS" w:cs="Arial"/>
      <w:color w:val="000000"/>
      <w:sz w:val="20"/>
      <w:szCs w:val="20"/>
      <w:lang w:eastAsia="pt-BR"/>
    </w:rPr>
  </w:style>
  <w:style w:type="character" w:styleId="Nivel4Char" w:customStyle="1">
    <w:name w:val="Nivel 4 Char"/>
    <w:basedOn w:val="DefaultParagraphFont"/>
    <w:link w:val="Nivel4"/>
    <w:qFormat/>
    <w:rsid w:val="00c35ada"/>
    <w:rPr>
      <w:rFonts w:ascii="Ecofont_Spranq_eco_Sans" w:hAnsi="Ecofont_Spranq_eco_Sans" w:eastAsia="Arial Unicode MS" w:cs="Arial"/>
      <w:sz w:val="20"/>
      <w:szCs w:val="20"/>
      <w:lang w:eastAsia="pt-BR"/>
    </w:rPr>
  </w:style>
  <w:style w:type="character" w:styleId="Nivel1Char" w:customStyle="1">
    <w:name w:val="Nivel1 Char"/>
    <w:basedOn w:val="Ttulo1Char"/>
    <w:link w:val="Nivel1"/>
    <w:qFormat/>
    <w:rsid w:val="00123df2"/>
    <w:rPr>
      <w:rFonts w:ascii="Arial" w:hAnsi="Arial" w:eastAsia="" w:cs="Arial" w:eastAsiaTheme="majorEastAsia"/>
      <w:b/>
      <w:bCs w:val="false"/>
      <w:color w:val="365F91" w:themeColor="accent1" w:themeShade="bf"/>
      <w:sz w:val="20"/>
      <w:szCs w:val="20"/>
      <w:lang w:eastAsia="pt-BR"/>
    </w:rPr>
  </w:style>
  <w:style w:type="character" w:styleId="ListLabel1" w:customStyle="1">
    <w:name w:val="ListLabel 1"/>
    <w:qFormat/>
    <w:rPr>
      <w:b/>
    </w:rPr>
  </w:style>
  <w:style w:type="character" w:styleId="ListLabel2" w:customStyle="1">
    <w:name w:val="ListLabel 2"/>
    <w:qFormat/>
    <w:rPr>
      <w:b w:val="false"/>
      <w:color w:val="00000A"/>
      <w:sz w:val="20"/>
      <w:szCs w:val="20"/>
    </w:rPr>
  </w:style>
  <w:style w:type="character" w:styleId="ListLabel3" w:customStyle="1">
    <w:name w:val="ListLabel 3"/>
    <w:qFormat/>
    <w:rPr>
      <w:b w:val="false"/>
      <w:i w:val="false"/>
      <w:color w:val="00000A"/>
      <w:sz w:val="20"/>
      <w:szCs w:val="20"/>
    </w:rPr>
  </w:style>
  <w:style w:type="character" w:styleId="ListLabel4" w:customStyle="1">
    <w:name w:val="ListLabel 4"/>
    <w:qFormat/>
    <w:rPr>
      <w:b/>
      <w:i w:val="false"/>
      <w:strike w:val="false"/>
      <w:dstrike w:val="false"/>
    </w:rPr>
  </w:style>
  <w:style w:type="character" w:styleId="ListLabel5" w:customStyle="1">
    <w:name w:val="ListLabel 5"/>
    <w:qFormat/>
    <w:rPr>
      <w:rFonts w:ascii="Times New Roman" w:hAnsi="Times New Roman"/>
      <w:b w:val="false"/>
      <w:strike w:val="false"/>
      <w:dstrike w:val="false"/>
      <w:sz w:val="22"/>
    </w:rPr>
  </w:style>
  <w:style w:type="character" w:styleId="ListLabel6" w:customStyle="1">
    <w:name w:val="ListLabel 6"/>
    <w:qFormat/>
    <w:rPr>
      <w:i w:val="false"/>
      <w:strike w:val="false"/>
      <w:dstrike w:val="false"/>
    </w:rPr>
  </w:style>
  <w:style w:type="character" w:styleId="ListLabel7" w:customStyle="1">
    <w:name w:val="ListLabel 7"/>
    <w:qFormat/>
    <w:rPr>
      <w:rFonts w:ascii="Times New Roman" w:hAnsi="Times New Roman" w:cs="Calibri"/>
      <w:b/>
      <w:sz w:val="22"/>
      <w:szCs w:val="22"/>
    </w:rPr>
  </w:style>
  <w:style w:type="character" w:styleId="ListLabel8" w:customStyle="1">
    <w:name w:val="ListLabel 8"/>
    <w:qFormat/>
    <w:rPr>
      <w:rFonts w:ascii="Times New Roman" w:hAnsi="Times New Roman" w:cs="Calibri"/>
      <w:b/>
      <w:sz w:val="22"/>
      <w:szCs w:val="22"/>
    </w:rPr>
  </w:style>
  <w:style w:type="character" w:styleId="ListLabel9" w:customStyle="1">
    <w:name w:val="ListLabel 9"/>
    <w:qFormat/>
    <w:rPr>
      <w:b/>
    </w:rPr>
  </w:style>
  <w:style w:type="character" w:styleId="ListLabel10" w:customStyle="1">
    <w:name w:val="ListLabel 10"/>
    <w:qFormat/>
    <w:rPr>
      <w:b w:val="false"/>
      <w:color w:val="00000A"/>
      <w:sz w:val="20"/>
      <w:szCs w:val="20"/>
    </w:rPr>
  </w:style>
  <w:style w:type="character" w:styleId="ListLabel11" w:customStyle="1">
    <w:name w:val="ListLabel 11"/>
    <w:qFormat/>
    <w:rPr>
      <w:b w:val="false"/>
      <w:i w:val="false"/>
      <w:color w:val="00000A"/>
      <w:sz w:val="20"/>
      <w:szCs w:val="20"/>
    </w:rPr>
  </w:style>
  <w:style w:type="character" w:styleId="ListLabel12" w:customStyle="1">
    <w:name w:val="ListLabel 12"/>
    <w:qFormat/>
    <w:rPr>
      <w:b/>
    </w:rPr>
  </w:style>
  <w:style w:type="character" w:styleId="ListLabel13" w:customStyle="1">
    <w:name w:val="ListLabel 13"/>
    <w:qFormat/>
    <w:rPr>
      <w:b w:val="false"/>
      <w:color w:val="00000A"/>
      <w:sz w:val="20"/>
      <w:szCs w:val="20"/>
    </w:rPr>
  </w:style>
  <w:style w:type="character" w:styleId="ListLabel14" w:customStyle="1">
    <w:name w:val="ListLabel 14"/>
    <w:qFormat/>
    <w:rPr>
      <w:b w:val="false"/>
      <w:i w:val="false"/>
      <w:color w:val="00000A"/>
      <w:sz w:val="20"/>
      <w:szCs w:val="20"/>
    </w:rPr>
  </w:style>
  <w:style w:type="character" w:styleId="ListLabel15" w:customStyle="1">
    <w:name w:val="ListLabel 15"/>
    <w:qFormat/>
    <w:rPr>
      <w:b/>
    </w:rPr>
  </w:style>
  <w:style w:type="character" w:styleId="ListLabel16" w:customStyle="1">
    <w:name w:val="ListLabel 16"/>
    <w:qFormat/>
    <w:rPr>
      <w:b w:val="false"/>
      <w:color w:val="00000A"/>
      <w:sz w:val="20"/>
      <w:szCs w:val="20"/>
    </w:rPr>
  </w:style>
  <w:style w:type="character" w:styleId="ListLabel17" w:customStyle="1">
    <w:name w:val="ListLabel 17"/>
    <w:qFormat/>
    <w:rPr>
      <w:b w:val="false"/>
      <w:i w:val="false"/>
      <w:color w:val="00000A"/>
      <w:sz w:val="20"/>
      <w:szCs w:val="20"/>
    </w:rPr>
  </w:style>
  <w:style w:type="character" w:styleId="ListLabel18" w:customStyle="1">
    <w:name w:val="ListLabel 18"/>
    <w:qFormat/>
    <w:rPr>
      <w:b/>
    </w:rPr>
  </w:style>
  <w:style w:type="character" w:styleId="ListLabel19" w:customStyle="1">
    <w:name w:val="ListLabel 19"/>
    <w:qFormat/>
    <w:rPr>
      <w:b w:val="false"/>
      <w:color w:val="00000A"/>
      <w:sz w:val="20"/>
      <w:szCs w:val="20"/>
    </w:rPr>
  </w:style>
  <w:style w:type="character" w:styleId="ListLabel20" w:customStyle="1">
    <w:name w:val="ListLabel 20"/>
    <w:qFormat/>
    <w:rPr>
      <w:b w:val="false"/>
      <w:i w:val="false"/>
      <w:color w:val="00000A"/>
      <w:sz w:val="20"/>
      <w:szCs w:val="20"/>
    </w:rPr>
  </w:style>
  <w:style w:type="character" w:styleId="ListLabel21" w:customStyle="1">
    <w:name w:val="ListLabel 21"/>
    <w:qFormat/>
    <w:rPr>
      <w:b/>
    </w:rPr>
  </w:style>
  <w:style w:type="character" w:styleId="ListLabel22" w:customStyle="1">
    <w:name w:val="ListLabel 22"/>
    <w:qFormat/>
    <w:rPr>
      <w:b w:val="false"/>
      <w:color w:val="00000A"/>
      <w:sz w:val="20"/>
      <w:szCs w:val="20"/>
    </w:rPr>
  </w:style>
  <w:style w:type="character" w:styleId="ListLabel23" w:customStyle="1">
    <w:name w:val="ListLabel 23"/>
    <w:qFormat/>
    <w:rPr>
      <w:b w:val="false"/>
      <w:i w:val="false"/>
      <w:color w:val="00000A"/>
      <w:sz w:val="20"/>
      <w:szCs w:val="20"/>
    </w:rPr>
  </w:style>
  <w:style w:type="character" w:styleId="ListLabel24" w:customStyle="1">
    <w:name w:val="ListLabel 24"/>
    <w:qFormat/>
    <w:rPr>
      <w:b/>
    </w:rPr>
  </w:style>
  <w:style w:type="character" w:styleId="ListLabel25" w:customStyle="1">
    <w:name w:val="ListLabel 25"/>
    <w:qFormat/>
    <w:rPr>
      <w:b w:val="false"/>
      <w:color w:val="00000A"/>
      <w:sz w:val="20"/>
      <w:szCs w:val="20"/>
    </w:rPr>
  </w:style>
  <w:style w:type="character" w:styleId="ListLabel26" w:customStyle="1">
    <w:name w:val="ListLabel 26"/>
    <w:qFormat/>
    <w:rPr>
      <w:b w:val="false"/>
      <w:i w:val="false"/>
      <w:color w:val="00000A"/>
      <w:sz w:val="20"/>
      <w:szCs w:val="20"/>
    </w:rPr>
  </w:style>
  <w:style w:type="character" w:styleId="ListLabel27" w:customStyle="1">
    <w:name w:val="ListLabel 27"/>
    <w:qFormat/>
    <w:rPr>
      <w:b/>
    </w:rPr>
  </w:style>
  <w:style w:type="character" w:styleId="ListLabel28" w:customStyle="1">
    <w:name w:val="ListLabel 28"/>
    <w:qFormat/>
    <w:rPr>
      <w:b w:val="false"/>
      <w:color w:val="00000A"/>
      <w:sz w:val="20"/>
      <w:szCs w:val="20"/>
    </w:rPr>
  </w:style>
  <w:style w:type="character" w:styleId="ListLabel29" w:customStyle="1">
    <w:name w:val="ListLabel 29"/>
    <w:qFormat/>
    <w:rPr>
      <w:b w:val="false"/>
      <w:i w:val="false"/>
      <w:color w:val="00000A"/>
      <w:sz w:val="20"/>
      <w:szCs w:val="20"/>
    </w:rPr>
  </w:style>
  <w:style w:type="character" w:styleId="ListLabel30" w:customStyle="1">
    <w:name w:val="ListLabel 30"/>
    <w:qFormat/>
    <w:rPr>
      <w:b/>
    </w:rPr>
  </w:style>
  <w:style w:type="character" w:styleId="ListLabel31" w:customStyle="1">
    <w:name w:val="ListLabel 31"/>
    <w:qFormat/>
    <w:rPr>
      <w:b w:val="false"/>
      <w:color w:val="00000A"/>
      <w:sz w:val="20"/>
      <w:szCs w:val="20"/>
    </w:rPr>
  </w:style>
  <w:style w:type="character" w:styleId="ListLabel32" w:customStyle="1">
    <w:name w:val="ListLabel 32"/>
    <w:qFormat/>
    <w:rPr>
      <w:b w:val="false"/>
      <w:i w:val="false"/>
      <w:color w:val="00000A"/>
      <w:sz w:val="20"/>
      <w:szCs w:val="20"/>
    </w:rPr>
  </w:style>
  <w:style w:type="character" w:styleId="ListLabel33" w:customStyle="1">
    <w:name w:val="ListLabel 33"/>
    <w:qFormat/>
    <w:rPr>
      <w:b/>
    </w:rPr>
  </w:style>
  <w:style w:type="character" w:styleId="ListLabel34" w:customStyle="1">
    <w:name w:val="ListLabel 34"/>
    <w:qFormat/>
    <w:rPr>
      <w:b w:val="false"/>
      <w:color w:val="00000A"/>
      <w:sz w:val="20"/>
      <w:szCs w:val="20"/>
    </w:rPr>
  </w:style>
  <w:style w:type="character" w:styleId="ListLabel35" w:customStyle="1">
    <w:name w:val="ListLabel 35"/>
    <w:qFormat/>
    <w:rPr>
      <w:b w:val="false"/>
      <w:i w:val="false"/>
      <w:color w:val="00000A"/>
      <w:sz w:val="20"/>
      <w:szCs w:val="20"/>
    </w:rPr>
  </w:style>
  <w:style w:type="character" w:styleId="ListLabel36" w:customStyle="1">
    <w:name w:val="ListLabel 36"/>
    <w:qFormat/>
    <w:rPr>
      <w:b/>
    </w:rPr>
  </w:style>
  <w:style w:type="character" w:styleId="ListLabel37" w:customStyle="1">
    <w:name w:val="ListLabel 37"/>
    <w:qFormat/>
    <w:rPr>
      <w:b w:val="false"/>
      <w:color w:val="00000A"/>
      <w:sz w:val="20"/>
      <w:szCs w:val="20"/>
    </w:rPr>
  </w:style>
  <w:style w:type="character" w:styleId="ListLabel38" w:customStyle="1">
    <w:name w:val="ListLabel 38"/>
    <w:qFormat/>
    <w:rPr>
      <w:b w:val="false"/>
      <w:i w:val="false"/>
      <w:color w:val="00000A"/>
      <w:sz w:val="20"/>
      <w:szCs w:val="20"/>
    </w:rPr>
  </w:style>
  <w:style w:type="character" w:styleId="ListLabel39" w:customStyle="1">
    <w:name w:val="ListLabel 39"/>
    <w:qFormat/>
    <w:rPr>
      <w:b/>
    </w:rPr>
  </w:style>
  <w:style w:type="character" w:styleId="ListLabel40" w:customStyle="1">
    <w:name w:val="ListLabel 40"/>
    <w:qFormat/>
    <w:rPr>
      <w:b w:val="false"/>
      <w:color w:val="00000A"/>
      <w:sz w:val="20"/>
      <w:szCs w:val="20"/>
    </w:rPr>
  </w:style>
  <w:style w:type="character" w:styleId="ListLabel41" w:customStyle="1">
    <w:name w:val="ListLabel 41"/>
    <w:qFormat/>
    <w:rPr>
      <w:b w:val="false"/>
      <w:i w:val="false"/>
      <w:color w:val="00000A"/>
      <w:sz w:val="20"/>
      <w:szCs w:val="20"/>
    </w:rPr>
  </w:style>
  <w:style w:type="character" w:styleId="ListLabel42" w:customStyle="1">
    <w:name w:val="ListLabel 42"/>
    <w:qFormat/>
    <w:rPr>
      <w:b/>
    </w:rPr>
  </w:style>
  <w:style w:type="character" w:styleId="ListLabel43" w:customStyle="1">
    <w:name w:val="ListLabel 43"/>
    <w:qFormat/>
    <w:rPr>
      <w:b w:val="false"/>
      <w:color w:val="00000A"/>
      <w:sz w:val="20"/>
      <w:szCs w:val="20"/>
    </w:rPr>
  </w:style>
  <w:style w:type="character" w:styleId="ListLabel44" w:customStyle="1">
    <w:name w:val="ListLabel 44"/>
    <w:qFormat/>
    <w:rPr>
      <w:b w:val="false"/>
      <w:i w:val="false"/>
      <w:color w:val="00000A"/>
      <w:sz w:val="20"/>
      <w:szCs w:val="20"/>
    </w:rPr>
  </w:style>
  <w:style w:type="character" w:styleId="ListLabel45" w:customStyle="1">
    <w:name w:val="ListLabel 45"/>
    <w:qFormat/>
    <w:rPr>
      <w:b/>
    </w:rPr>
  </w:style>
  <w:style w:type="character" w:styleId="ListLabel46" w:customStyle="1">
    <w:name w:val="ListLabel 46"/>
    <w:qFormat/>
    <w:rPr>
      <w:b w:val="false"/>
      <w:color w:val="00000A"/>
      <w:sz w:val="20"/>
      <w:szCs w:val="20"/>
    </w:rPr>
  </w:style>
  <w:style w:type="character" w:styleId="ListLabel47" w:customStyle="1">
    <w:name w:val="ListLabel 47"/>
    <w:qFormat/>
    <w:rPr>
      <w:b w:val="false"/>
      <w:i w:val="false"/>
      <w:color w:val="00000A"/>
      <w:sz w:val="20"/>
      <w:szCs w:val="20"/>
    </w:rPr>
  </w:style>
  <w:style w:type="character" w:styleId="ListLabel48" w:customStyle="1">
    <w:name w:val="ListLabel 48"/>
    <w:qFormat/>
    <w:rPr>
      <w:b/>
    </w:rPr>
  </w:style>
  <w:style w:type="character" w:styleId="ListLabel49" w:customStyle="1">
    <w:name w:val="ListLabel 49"/>
    <w:qFormat/>
    <w:rPr>
      <w:b w:val="false"/>
      <w:color w:val="00000A"/>
      <w:sz w:val="20"/>
      <w:szCs w:val="20"/>
    </w:rPr>
  </w:style>
  <w:style w:type="character" w:styleId="ListLabel50" w:customStyle="1">
    <w:name w:val="ListLabel 50"/>
    <w:qFormat/>
    <w:rPr>
      <w:b w:val="false"/>
      <w:i w:val="false"/>
      <w:color w:val="00000A"/>
      <w:sz w:val="20"/>
      <w:szCs w:val="20"/>
    </w:rPr>
  </w:style>
  <w:style w:type="character" w:styleId="ListLabel51" w:customStyle="1">
    <w:name w:val="ListLabel 51"/>
    <w:qFormat/>
    <w:rPr>
      <w:b/>
    </w:rPr>
  </w:style>
  <w:style w:type="character" w:styleId="ListLabel52" w:customStyle="1">
    <w:name w:val="ListLabel 52"/>
    <w:qFormat/>
    <w:rPr>
      <w:b w:val="false"/>
      <w:color w:val="00000A"/>
      <w:sz w:val="20"/>
      <w:szCs w:val="20"/>
    </w:rPr>
  </w:style>
  <w:style w:type="character" w:styleId="ListLabel53" w:customStyle="1">
    <w:name w:val="ListLabel 53"/>
    <w:qFormat/>
    <w:rPr>
      <w:b w:val="false"/>
      <w:i w:val="false"/>
      <w:color w:val="00000A"/>
      <w:sz w:val="20"/>
      <w:szCs w:val="20"/>
    </w:rPr>
  </w:style>
  <w:style w:type="character" w:styleId="ListLabel54" w:customStyle="1">
    <w:name w:val="ListLabel 54"/>
    <w:qFormat/>
    <w:rPr>
      <w:b/>
    </w:rPr>
  </w:style>
  <w:style w:type="character" w:styleId="ListLabel55" w:customStyle="1">
    <w:name w:val="ListLabel 55"/>
    <w:qFormat/>
    <w:rPr>
      <w:b w:val="false"/>
      <w:color w:val="00000A"/>
      <w:sz w:val="20"/>
      <w:szCs w:val="20"/>
    </w:rPr>
  </w:style>
  <w:style w:type="character" w:styleId="ListLabel56" w:customStyle="1">
    <w:name w:val="ListLabel 56"/>
    <w:qFormat/>
    <w:rPr>
      <w:b w:val="false"/>
      <w:i w:val="false"/>
      <w:color w:val="00000A"/>
      <w:sz w:val="20"/>
      <w:szCs w:val="20"/>
    </w:rPr>
  </w:style>
  <w:style w:type="character" w:styleId="ListLabel57" w:customStyle="1">
    <w:name w:val="ListLabel 57"/>
    <w:qFormat/>
    <w:rPr>
      <w:b/>
    </w:rPr>
  </w:style>
  <w:style w:type="character" w:styleId="ListLabel58" w:customStyle="1">
    <w:name w:val="ListLabel 58"/>
    <w:qFormat/>
    <w:rPr>
      <w:b w:val="false"/>
      <w:color w:val="00000A"/>
      <w:sz w:val="20"/>
      <w:szCs w:val="20"/>
    </w:rPr>
  </w:style>
  <w:style w:type="character" w:styleId="ListLabel59" w:customStyle="1">
    <w:name w:val="ListLabel 59"/>
    <w:qFormat/>
    <w:rPr>
      <w:b w:val="false"/>
      <w:i w:val="false"/>
      <w:color w:val="00000A"/>
      <w:sz w:val="20"/>
      <w:szCs w:val="20"/>
    </w:rPr>
  </w:style>
  <w:style w:type="character" w:styleId="ListLabel60" w:customStyle="1">
    <w:name w:val="ListLabel 60"/>
    <w:qFormat/>
    <w:rPr>
      <w:b/>
    </w:rPr>
  </w:style>
  <w:style w:type="character" w:styleId="ListLabel61" w:customStyle="1">
    <w:name w:val="ListLabel 61"/>
    <w:qFormat/>
    <w:rPr>
      <w:b w:val="false"/>
      <w:color w:val="00000A"/>
      <w:sz w:val="20"/>
      <w:szCs w:val="20"/>
    </w:rPr>
  </w:style>
  <w:style w:type="character" w:styleId="ListLabel62" w:customStyle="1">
    <w:name w:val="ListLabel 62"/>
    <w:qFormat/>
    <w:rPr>
      <w:b w:val="false"/>
      <w:i w:val="false"/>
      <w:color w:val="00000A"/>
      <w:sz w:val="20"/>
      <w:szCs w:val="20"/>
    </w:rPr>
  </w:style>
  <w:style w:type="character" w:styleId="ListLabel63" w:customStyle="1">
    <w:name w:val="ListLabel 63"/>
    <w:qFormat/>
    <w:rPr>
      <w:b/>
    </w:rPr>
  </w:style>
  <w:style w:type="character" w:styleId="ListLabel64" w:customStyle="1">
    <w:name w:val="ListLabel 64"/>
    <w:qFormat/>
    <w:rPr>
      <w:b w:val="false"/>
      <w:color w:val="00000A"/>
      <w:sz w:val="20"/>
      <w:szCs w:val="20"/>
    </w:rPr>
  </w:style>
  <w:style w:type="character" w:styleId="ListLabel65" w:customStyle="1">
    <w:name w:val="ListLabel 65"/>
    <w:qFormat/>
    <w:rPr>
      <w:b w:val="false"/>
      <w:i w:val="false"/>
      <w:color w:val="00000A"/>
      <w:sz w:val="20"/>
      <w:szCs w:val="20"/>
    </w:rPr>
  </w:style>
  <w:style w:type="character" w:styleId="ListLabel66" w:customStyle="1">
    <w:name w:val="ListLabel 66"/>
    <w:qFormat/>
    <w:rPr>
      <w:b/>
    </w:rPr>
  </w:style>
  <w:style w:type="character" w:styleId="ListLabel67" w:customStyle="1">
    <w:name w:val="ListLabel 67"/>
    <w:qFormat/>
    <w:rPr>
      <w:b w:val="false"/>
      <w:color w:val="00000A"/>
      <w:sz w:val="20"/>
      <w:szCs w:val="20"/>
    </w:rPr>
  </w:style>
  <w:style w:type="character" w:styleId="ListLabel68" w:customStyle="1">
    <w:name w:val="ListLabel 68"/>
    <w:qFormat/>
    <w:rPr>
      <w:b w:val="false"/>
      <w:i w:val="false"/>
      <w:color w:val="00000A"/>
      <w:sz w:val="20"/>
      <w:szCs w:val="20"/>
    </w:rPr>
  </w:style>
  <w:style w:type="character" w:styleId="ListLabel69" w:customStyle="1">
    <w:name w:val="ListLabel 69"/>
    <w:qFormat/>
    <w:rPr>
      <w:b/>
    </w:rPr>
  </w:style>
  <w:style w:type="character" w:styleId="ListLabel70" w:customStyle="1">
    <w:name w:val="ListLabel 70"/>
    <w:qFormat/>
    <w:rPr>
      <w:b w:val="false"/>
      <w:color w:val="00000A"/>
      <w:sz w:val="20"/>
      <w:szCs w:val="20"/>
    </w:rPr>
  </w:style>
  <w:style w:type="character" w:styleId="ListLabel71" w:customStyle="1">
    <w:name w:val="ListLabel 71"/>
    <w:qFormat/>
    <w:rPr>
      <w:b w:val="false"/>
      <w:i w:val="false"/>
      <w:color w:val="00000A"/>
      <w:sz w:val="20"/>
      <w:szCs w:val="20"/>
    </w:rPr>
  </w:style>
  <w:style w:type="character" w:styleId="ListLabel72" w:customStyle="1">
    <w:name w:val="ListLabel 72"/>
    <w:qFormat/>
    <w:rPr>
      <w:b/>
    </w:rPr>
  </w:style>
  <w:style w:type="character" w:styleId="ListLabel73" w:customStyle="1">
    <w:name w:val="ListLabel 73"/>
    <w:qFormat/>
    <w:rPr>
      <w:b w:val="false"/>
      <w:color w:val="00000A"/>
      <w:sz w:val="20"/>
      <w:szCs w:val="20"/>
    </w:rPr>
  </w:style>
  <w:style w:type="character" w:styleId="ListLabel74" w:customStyle="1">
    <w:name w:val="ListLabel 74"/>
    <w:qFormat/>
    <w:rPr>
      <w:b w:val="false"/>
      <w:i w:val="false"/>
      <w:color w:val="00000A"/>
      <w:sz w:val="20"/>
      <w:szCs w:val="20"/>
    </w:rPr>
  </w:style>
  <w:style w:type="character" w:styleId="ListLabel75" w:customStyle="1">
    <w:name w:val="ListLabel 75"/>
    <w:qFormat/>
    <w:rPr>
      <w:b/>
    </w:rPr>
  </w:style>
  <w:style w:type="character" w:styleId="ListLabel76" w:customStyle="1">
    <w:name w:val="ListLabel 76"/>
    <w:qFormat/>
    <w:rPr>
      <w:b w:val="false"/>
      <w:color w:val="00000A"/>
      <w:sz w:val="20"/>
      <w:szCs w:val="20"/>
    </w:rPr>
  </w:style>
  <w:style w:type="character" w:styleId="ListLabel77" w:customStyle="1">
    <w:name w:val="ListLabel 77"/>
    <w:qFormat/>
    <w:rPr>
      <w:b w:val="false"/>
      <w:i w:val="false"/>
      <w:color w:val="00000A"/>
      <w:sz w:val="20"/>
      <w:szCs w:val="20"/>
    </w:rPr>
  </w:style>
  <w:style w:type="character" w:styleId="ListLabel78" w:customStyle="1">
    <w:name w:val="ListLabel 78"/>
    <w:qFormat/>
    <w:rPr>
      <w:b/>
    </w:rPr>
  </w:style>
  <w:style w:type="character" w:styleId="ListLabel79" w:customStyle="1">
    <w:name w:val="ListLabel 79"/>
    <w:qFormat/>
    <w:rPr>
      <w:b w:val="false"/>
      <w:color w:val="00000A"/>
      <w:sz w:val="20"/>
      <w:szCs w:val="20"/>
    </w:rPr>
  </w:style>
  <w:style w:type="character" w:styleId="ListLabel80" w:customStyle="1">
    <w:name w:val="ListLabel 80"/>
    <w:qFormat/>
    <w:rPr>
      <w:b w:val="false"/>
      <w:i w:val="false"/>
      <w:color w:val="00000A"/>
      <w:sz w:val="20"/>
      <w:szCs w:val="20"/>
    </w:rPr>
  </w:style>
  <w:style w:type="character" w:styleId="ListLabel81" w:customStyle="1">
    <w:name w:val="ListLabel 81"/>
    <w:qFormat/>
    <w:rPr>
      <w:b/>
    </w:rPr>
  </w:style>
  <w:style w:type="character" w:styleId="ListLabel82" w:customStyle="1">
    <w:name w:val="ListLabel 82"/>
    <w:qFormat/>
    <w:rPr>
      <w:b w:val="false"/>
      <w:color w:val="00000A"/>
      <w:sz w:val="20"/>
      <w:szCs w:val="20"/>
    </w:rPr>
  </w:style>
  <w:style w:type="character" w:styleId="ListLabel83" w:customStyle="1">
    <w:name w:val="ListLabel 83"/>
    <w:qFormat/>
    <w:rPr>
      <w:b w:val="false"/>
      <w:i w:val="false"/>
      <w:color w:val="00000A"/>
      <w:sz w:val="20"/>
      <w:szCs w:val="20"/>
    </w:rPr>
  </w:style>
  <w:style w:type="character" w:styleId="ListLabel84" w:customStyle="1">
    <w:name w:val="ListLabel 84"/>
    <w:qFormat/>
    <w:rPr>
      <w:b/>
    </w:rPr>
  </w:style>
  <w:style w:type="character" w:styleId="ListLabel85" w:customStyle="1">
    <w:name w:val="ListLabel 85"/>
    <w:qFormat/>
    <w:rPr>
      <w:b w:val="false"/>
      <w:color w:val="00000A"/>
      <w:sz w:val="20"/>
      <w:szCs w:val="20"/>
    </w:rPr>
  </w:style>
  <w:style w:type="character" w:styleId="ListLabel86" w:customStyle="1">
    <w:name w:val="ListLabel 86"/>
    <w:qFormat/>
    <w:rPr>
      <w:b w:val="false"/>
      <w:i w:val="false"/>
      <w:color w:val="00000A"/>
      <w:sz w:val="20"/>
      <w:szCs w:val="20"/>
    </w:rPr>
  </w:style>
  <w:style w:type="character" w:styleId="ListLabel87" w:customStyle="1">
    <w:name w:val="ListLabel 87"/>
    <w:qFormat/>
    <w:rPr>
      <w:b/>
    </w:rPr>
  </w:style>
  <w:style w:type="character" w:styleId="ListLabel88" w:customStyle="1">
    <w:name w:val="ListLabel 88"/>
    <w:qFormat/>
    <w:rPr>
      <w:b w:val="false"/>
      <w:color w:val="00000A"/>
      <w:sz w:val="20"/>
      <w:szCs w:val="20"/>
    </w:rPr>
  </w:style>
  <w:style w:type="character" w:styleId="ListLabel89" w:customStyle="1">
    <w:name w:val="ListLabel 89"/>
    <w:qFormat/>
    <w:rPr>
      <w:b w:val="false"/>
      <w:i w:val="false"/>
      <w:color w:val="00000A"/>
      <w:sz w:val="20"/>
      <w:szCs w:val="20"/>
    </w:rPr>
  </w:style>
  <w:style w:type="character" w:styleId="ListLabel90" w:customStyle="1">
    <w:name w:val="ListLabel 90"/>
    <w:qFormat/>
    <w:rPr>
      <w:b/>
    </w:rPr>
  </w:style>
  <w:style w:type="character" w:styleId="ListLabel91" w:customStyle="1">
    <w:name w:val="ListLabel 91"/>
    <w:qFormat/>
    <w:rPr>
      <w:b w:val="false"/>
      <w:color w:val="00000A"/>
      <w:sz w:val="20"/>
      <w:szCs w:val="20"/>
    </w:rPr>
  </w:style>
  <w:style w:type="character" w:styleId="ListLabel92" w:customStyle="1">
    <w:name w:val="ListLabel 92"/>
    <w:qFormat/>
    <w:rPr>
      <w:b w:val="false"/>
      <w:i w:val="false"/>
      <w:color w:val="00000A"/>
      <w:sz w:val="20"/>
      <w:szCs w:val="20"/>
    </w:rPr>
  </w:style>
  <w:style w:type="character" w:styleId="ListLabel93" w:customStyle="1">
    <w:name w:val="ListLabel 93"/>
    <w:qFormat/>
    <w:rPr>
      <w:b/>
    </w:rPr>
  </w:style>
  <w:style w:type="character" w:styleId="ListLabel94" w:customStyle="1">
    <w:name w:val="ListLabel 94"/>
    <w:qFormat/>
    <w:rPr>
      <w:b w:val="false"/>
      <w:color w:val="00000A"/>
      <w:sz w:val="20"/>
      <w:szCs w:val="20"/>
    </w:rPr>
  </w:style>
  <w:style w:type="character" w:styleId="ListLabel95" w:customStyle="1">
    <w:name w:val="ListLabel 95"/>
    <w:qFormat/>
    <w:rPr>
      <w:b w:val="false"/>
      <w:i w:val="false"/>
      <w:color w:val="00000A"/>
      <w:sz w:val="20"/>
      <w:szCs w:val="20"/>
    </w:rPr>
  </w:style>
  <w:style w:type="character" w:styleId="ListLabel96" w:customStyle="1">
    <w:name w:val="ListLabel 96"/>
    <w:qFormat/>
    <w:rPr>
      <w:b/>
    </w:rPr>
  </w:style>
  <w:style w:type="character" w:styleId="ListLabel97" w:customStyle="1">
    <w:name w:val="ListLabel 97"/>
    <w:qFormat/>
    <w:rPr>
      <w:b w:val="false"/>
      <w:color w:val="00000A"/>
      <w:sz w:val="20"/>
      <w:szCs w:val="20"/>
    </w:rPr>
  </w:style>
  <w:style w:type="character" w:styleId="ListLabel98" w:customStyle="1">
    <w:name w:val="ListLabel 98"/>
    <w:qFormat/>
    <w:rPr>
      <w:b w:val="false"/>
      <w:i w:val="false"/>
      <w:color w:val="00000A"/>
      <w:sz w:val="20"/>
      <w:szCs w:val="20"/>
    </w:rPr>
  </w:style>
  <w:style w:type="character" w:styleId="ListLabel99" w:customStyle="1">
    <w:name w:val="ListLabel 99"/>
    <w:qFormat/>
    <w:rPr>
      <w:b/>
    </w:rPr>
  </w:style>
  <w:style w:type="character" w:styleId="ListLabel100" w:customStyle="1">
    <w:name w:val="ListLabel 100"/>
    <w:qFormat/>
    <w:rPr>
      <w:b w:val="false"/>
      <w:color w:val="00000A"/>
      <w:sz w:val="20"/>
      <w:szCs w:val="20"/>
    </w:rPr>
  </w:style>
  <w:style w:type="character" w:styleId="ListLabel101" w:customStyle="1">
    <w:name w:val="ListLabel 101"/>
    <w:qFormat/>
    <w:rPr>
      <w:b w:val="false"/>
      <w:i w:val="false"/>
      <w:color w:val="00000A"/>
      <w:sz w:val="20"/>
      <w:szCs w:val="20"/>
    </w:rPr>
  </w:style>
  <w:style w:type="character" w:styleId="ListLabel102" w:customStyle="1">
    <w:name w:val="ListLabel 102"/>
    <w:qFormat/>
    <w:rPr>
      <w:b/>
    </w:rPr>
  </w:style>
  <w:style w:type="character" w:styleId="ListLabel103" w:customStyle="1">
    <w:name w:val="ListLabel 103"/>
    <w:qFormat/>
    <w:rPr>
      <w:b w:val="false"/>
      <w:color w:val="00000A"/>
      <w:sz w:val="20"/>
      <w:szCs w:val="20"/>
    </w:rPr>
  </w:style>
  <w:style w:type="character" w:styleId="ListLabel104" w:customStyle="1">
    <w:name w:val="ListLabel 104"/>
    <w:qFormat/>
    <w:rPr>
      <w:b w:val="false"/>
      <w:i w:val="false"/>
      <w:color w:val="00000A"/>
      <w:sz w:val="20"/>
      <w:szCs w:val="20"/>
    </w:rPr>
  </w:style>
  <w:style w:type="character" w:styleId="ListLabel105" w:customStyle="1">
    <w:name w:val="ListLabel 105"/>
    <w:qFormat/>
    <w:rPr>
      <w:b/>
    </w:rPr>
  </w:style>
  <w:style w:type="character" w:styleId="ListLabel106" w:customStyle="1">
    <w:name w:val="ListLabel 106"/>
    <w:qFormat/>
    <w:rPr>
      <w:b w:val="false"/>
      <w:color w:val="00000A"/>
      <w:sz w:val="20"/>
      <w:szCs w:val="20"/>
    </w:rPr>
  </w:style>
  <w:style w:type="character" w:styleId="ListLabel107" w:customStyle="1">
    <w:name w:val="ListLabel 107"/>
    <w:qFormat/>
    <w:rPr>
      <w:b w:val="false"/>
      <w:i w:val="false"/>
      <w:color w:val="00000A"/>
      <w:sz w:val="20"/>
      <w:szCs w:val="20"/>
    </w:rPr>
  </w:style>
  <w:style w:type="character" w:styleId="ListLabel108" w:customStyle="1">
    <w:name w:val="ListLabel 108"/>
    <w:qFormat/>
    <w:rPr>
      <w:b/>
    </w:rPr>
  </w:style>
  <w:style w:type="character" w:styleId="ListLabel109" w:customStyle="1">
    <w:name w:val="ListLabel 109"/>
    <w:qFormat/>
    <w:rPr>
      <w:b w:val="false"/>
      <w:color w:val="00000A"/>
      <w:sz w:val="20"/>
      <w:szCs w:val="20"/>
    </w:rPr>
  </w:style>
  <w:style w:type="character" w:styleId="ListLabel110" w:customStyle="1">
    <w:name w:val="ListLabel 110"/>
    <w:qFormat/>
    <w:rPr>
      <w:b w:val="false"/>
      <w:i w:val="false"/>
      <w:color w:val="00000A"/>
      <w:sz w:val="20"/>
      <w:szCs w:val="20"/>
    </w:rPr>
  </w:style>
  <w:style w:type="character" w:styleId="ListLabel111" w:customStyle="1">
    <w:name w:val="ListLabel 111"/>
    <w:qFormat/>
    <w:rPr>
      <w:b/>
    </w:rPr>
  </w:style>
  <w:style w:type="character" w:styleId="ListLabel112" w:customStyle="1">
    <w:name w:val="ListLabel 112"/>
    <w:qFormat/>
    <w:rPr>
      <w:b w:val="false"/>
      <w:color w:val="00000A"/>
      <w:sz w:val="20"/>
      <w:szCs w:val="20"/>
    </w:rPr>
  </w:style>
  <w:style w:type="character" w:styleId="ListLabel113" w:customStyle="1">
    <w:name w:val="ListLabel 113"/>
    <w:qFormat/>
    <w:rPr>
      <w:b w:val="false"/>
      <w:i w:val="false"/>
      <w:color w:val="00000A"/>
      <w:sz w:val="20"/>
      <w:szCs w:val="20"/>
    </w:rPr>
  </w:style>
  <w:style w:type="character" w:styleId="ListLabel114" w:customStyle="1">
    <w:name w:val="ListLabel 114"/>
    <w:qFormat/>
    <w:rPr>
      <w:b/>
    </w:rPr>
  </w:style>
  <w:style w:type="character" w:styleId="ListLabel115" w:customStyle="1">
    <w:name w:val="ListLabel 115"/>
    <w:qFormat/>
    <w:rPr>
      <w:b w:val="false"/>
      <w:color w:val="00000A"/>
      <w:sz w:val="20"/>
      <w:szCs w:val="20"/>
    </w:rPr>
  </w:style>
  <w:style w:type="character" w:styleId="ListLabel116" w:customStyle="1">
    <w:name w:val="ListLabel 116"/>
    <w:qFormat/>
    <w:rPr>
      <w:b w:val="false"/>
      <w:i w:val="false"/>
      <w:color w:val="00000A"/>
      <w:sz w:val="20"/>
      <w:szCs w:val="20"/>
    </w:rPr>
  </w:style>
  <w:style w:type="character" w:styleId="ListLabel117" w:customStyle="1">
    <w:name w:val="ListLabel 117"/>
    <w:qFormat/>
    <w:rPr>
      <w:b/>
    </w:rPr>
  </w:style>
  <w:style w:type="character" w:styleId="ListLabel118" w:customStyle="1">
    <w:name w:val="ListLabel 118"/>
    <w:qFormat/>
    <w:rPr>
      <w:b w:val="false"/>
      <w:color w:val="00000A"/>
      <w:sz w:val="20"/>
      <w:szCs w:val="20"/>
    </w:rPr>
  </w:style>
  <w:style w:type="character" w:styleId="ListLabel119" w:customStyle="1">
    <w:name w:val="ListLabel 119"/>
    <w:qFormat/>
    <w:rPr>
      <w:b w:val="false"/>
      <w:i w:val="false"/>
      <w:color w:val="00000A"/>
      <w:sz w:val="20"/>
      <w:szCs w:val="20"/>
    </w:rPr>
  </w:style>
  <w:style w:type="character" w:styleId="ListLabel120" w:customStyle="1">
    <w:name w:val="ListLabel 120"/>
    <w:qFormat/>
    <w:rPr>
      <w:b/>
    </w:rPr>
  </w:style>
  <w:style w:type="character" w:styleId="ListLabel121" w:customStyle="1">
    <w:name w:val="ListLabel 121"/>
    <w:qFormat/>
    <w:rPr>
      <w:b w:val="false"/>
      <w:color w:val="00000A"/>
      <w:sz w:val="20"/>
      <w:szCs w:val="20"/>
    </w:rPr>
  </w:style>
  <w:style w:type="character" w:styleId="ListLabel122" w:customStyle="1">
    <w:name w:val="ListLabel 122"/>
    <w:qFormat/>
    <w:rPr>
      <w:b w:val="false"/>
      <w:i w:val="false"/>
      <w:color w:val="00000A"/>
      <w:sz w:val="20"/>
      <w:szCs w:val="20"/>
    </w:rPr>
  </w:style>
  <w:style w:type="character" w:styleId="ListLabel123" w:customStyle="1">
    <w:name w:val="ListLabel 123"/>
    <w:qFormat/>
    <w:rPr>
      <w:b/>
    </w:rPr>
  </w:style>
  <w:style w:type="character" w:styleId="ListLabel124" w:customStyle="1">
    <w:name w:val="ListLabel 124"/>
    <w:qFormat/>
    <w:rPr>
      <w:b w:val="false"/>
      <w:color w:val="00000A"/>
      <w:sz w:val="20"/>
      <w:szCs w:val="20"/>
    </w:rPr>
  </w:style>
  <w:style w:type="character" w:styleId="ListLabel125" w:customStyle="1">
    <w:name w:val="ListLabel 125"/>
    <w:qFormat/>
    <w:rPr>
      <w:b w:val="false"/>
      <w:i w:val="false"/>
      <w:color w:val="00000A"/>
      <w:sz w:val="20"/>
      <w:szCs w:val="20"/>
    </w:rPr>
  </w:style>
  <w:style w:type="character" w:styleId="ListLabel126" w:customStyle="1">
    <w:name w:val="ListLabel 126"/>
    <w:qFormat/>
    <w:rPr>
      <w:b/>
    </w:rPr>
  </w:style>
  <w:style w:type="character" w:styleId="ListLabel127" w:customStyle="1">
    <w:name w:val="ListLabel 127"/>
    <w:qFormat/>
    <w:rPr>
      <w:b w:val="false"/>
      <w:color w:val="00000A"/>
      <w:sz w:val="20"/>
      <w:szCs w:val="20"/>
    </w:rPr>
  </w:style>
  <w:style w:type="character" w:styleId="ListLabel128" w:customStyle="1">
    <w:name w:val="ListLabel 128"/>
    <w:qFormat/>
    <w:rPr>
      <w:b w:val="false"/>
      <w:i w:val="false"/>
      <w:color w:val="00000A"/>
      <w:sz w:val="20"/>
      <w:szCs w:val="20"/>
    </w:rPr>
  </w:style>
  <w:style w:type="character" w:styleId="ListLabel129" w:customStyle="1">
    <w:name w:val="ListLabel 129"/>
    <w:qFormat/>
    <w:rPr>
      <w:b/>
    </w:rPr>
  </w:style>
  <w:style w:type="character" w:styleId="ListLabel130" w:customStyle="1">
    <w:name w:val="ListLabel 130"/>
    <w:qFormat/>
    <w:rPr>
      <w:b w:val="false"/>
      <w:color w:val="00000A"/>
      <w:sz w:val="20"/>
      <w:szCs w:val="20"/>
    </w:rPr>
  </w:style>
  <w:style w:type="character" w:styleId="ListLabel131" w:customStyle="1">
    <w:name w:val="ListLabel 131"/>
    <w:qFormat/>
    <w:rPr>
      <w:b w:val="false"/>
      <w:i w:val="false"/>
      <w:color w:val="00000A"/>
      <w:sz w:val="20"/>
      <w:szCs w:val="20"/>
    </w:rPr>
  </w:style>
  <w:style w:type="character" w:styleId="ListLabel132" w:customStyle="1">
    <w:name w:val="ListLabel 132"/>
    <w:qFormat/>
    <w:rPr>
      <w:b/>
    </w:rPr>
  </w:style>
  <w:style w:type="character" w:styleId="ListLabel133" w:customStyle="1">
    <w:name w:val="ListLabel 133"/>
    <w:qFormat/>
    <w:rPr>
      <w:b w:val="false"/>
      <w:color w:val="00000A"/>
      <w:sz w:val="20"/>
      <w:szCs w:val="20"/>
    </w:rPr>
  </w:style>
  <w:style w:type="character" w:styleId="ListLabel134" w:customStyle="1">
    <w:name w:val="ListLabel 134"/>
    <w:qFormat/>
    <w:rPr>
      <w:b w:val="false"/>
      <w:i w:val="false"/>
      <w:color w:val="00000A"/>
      <w:sz w:val="20"/>
      <w:szCs w:val="20"/>
    </w:rPr>
  </w:style>
  <w:style w:type="character" w:styleId="ListLabel135" w:customStyle="1">
    <w:name w:val="ListLabel 135"/>
    <w:qFormat/>
    <w:rPr>
      <w:b/>
    </w:rPr>
  </w:style>
  <w:style w:type="character" w:styleId="ListLabel136" w:customStyle="1">
    <w:name w:val="ListLabel 136"/>
    <w:qFormat/>
    <w:rPr>
      <w:b w:val="false"/>
      <w:color w:val="00000A"/>
      <w:sz w:val="20"/>
      <w:szCs w:val="20"/>
    </w:rPr>
  </w:style>
  <w:style w:type="character" w:styleId="ListLabel137" w:customStyle="1">
    <w:name w:val="ListLabel 137"/>
    <w:qFormat/>
    <w:rPr>
      <w:b w:val="false"/>
      <w:i w:val="false"/>
      <w:color w:val="00000A"/>
      <w:sz w:val="20"/>
      <w:szCs w:val="20"/>
    </w:rPr>
  </w:style>
  <w:style w:type="character" w:styleId="ListLabel138" w:customStyle="1">
    <w:name w:val="ListLabel 138"/>
    <w:qFormat/>
    <w:rPr>
      <w:b/>
    </w:rPr>
  </w:style>
  <w:style w:type="character" w:styleId="ListLabel139" w:customStyle="1">
    <w:name w:val="ListLabel 139"/>
    <w:qFormat/>
    <w:rPr>
      <w:b w:val="false"/>
      <w:color w:val="00000A"/>
      <w:sz w:val="20"/>
      <w:szCs w:val="20"/>
    </w:rPr>
  </w:style>
  <w:style w:type="character" w:styleId="ListLabel140" w:customStyle="1">
    <w:name w:val="ListLabel 140"/>
    <w:qFormat/>
    <w:rPr>
      <w:b w:val="false"/>
      <w:i w:val="false"/>
      <w:color w:val="00000A"/>
      <w:sz w:val="20"/>
      <w:szCs w:val="20"/>
    </w:rPr>
  </w:style>
  <w:style w:type="character" w:styleId="ListLabel141" w:customStyle="1">
    <w:name w:val="ListLabel 141"/>
    <w:qFormat/>
    <w:rPr>
      <w:b/>
    </w:rPr>
  </w:style>
  <w:style w:type="character" w:styleId="ListLabel142" w:customStyle="1">
    <w:name w:val="ListLabel 142"/>
    <w:qFormat/>
    <w:rPr>
      <w:b w:val="false"/>
      <w:color w:val="00000A"/>
      <w:sz w:val="20"/>
      <w:szCs w:val="20"/>
    </w:rPr>
  </w:style>
  <w:style w:type="character" w:styleId="ListLabel143" w:customStyle="1">
    <w:name w:val="ListLabel 143"/>
    <w:qFormat/>
    <w:rPr>
      <w:b w:val="false"/>
      <w:i w:val="false"/>
      <w:color w:val="00000A"/>
      <w:sz w:val="20"/>
      <w:szCs w:val="20"/>
    </w:rPr>
  </w:style>
  <w:style w:type="character" w:styleId="ListLabel144" w:customStyle="1">
    <w:name w:val="ListLabel 144"/>
    <w:qFormat/>
    <w:rPr>
      <w:b/>
    </w:rPr>
  </w:style>
  <w:style w:type="character" w:styleId="ListLabel145" w:customStyle="1">
    <w:name w:val="ListLabel 145"/>
    <w:qFormat/>
    <w:rPr>
      <w:b w:val="false"/>
      <w:color w:val="00000A"/>
      <w:sz w:val="20"/>
      <w:szCs w:val="20"/>
    </w:rPr>
  </w:style>
  <w:style w:type="character" w:styleId="ListLabel146" w:customStyle="1">
    <w:name w:val="ListLabel 146"/>
    <w:qFormat/>
    <w:rPr>
      <w:b w:val="false"/>
      <w:i w:val="false"/>
      <w:color w:val="00000A"/>
      <w:sz w:val="20"/>
      <w:szCs w:val="20"/>
    </w:rPr>
  </w:style>
  <w:style w:type="character" w:styleId="ListLabel147" w:customStyle="1">
    <w:name w:val="ListLabel 147"/>
    <w:qFormat/>
    <w:rPr>
      <w:b/>
    </w:rPr>
  </w:style>
  <w:style w:type="character" w:styleId="ListLabel148" w:customStyle="1">
    <w:name w:val="ListLabel 148"/>
    <w:qFormat/>
    <w:rPr>
      <w:b w:val="false"/>
      <w:color w:val="00000A"/>
      <w:sz w:val="20"/>
      <w:szCs w:val="20"/>
    </w:rPr>
  </w:style>
  <w:style w:type="character" w:styleId="ListLabel149" w:customStyle="1">
    <w:name w:val="ListLabel 149"/>
    <w:qFormat/>
    <w:rPr>
      <w:b w:val="false"/>
      <w:i w:val="false"/>
      <w:color w:val="00000A"/>
      <w:sz w:val="20"/>
      <w:szCs w:val="20"/>
    </w:rPr>
  </w:style>
  <w:style w:type="character" w:styleId="ListLabel150" w:customStyle="1">
    <w:name w:val="ListLabel 150"/>
    <w:qFormat/>
    <w:rPr>
      <w:b/>
    </w:rPr>
  </w:style>
  <w:style w:type="character" w:styleId="ListLabel151" w:customStyle="1">
    <w:name w:val="ListLabel 151"/>
    <w:qFormat/>
    <w:rPr>
      <w:b w:val="false"/>
      <w:color w:val="00000A"/>
      <w:sz w:val="20"/>
      <w:szCs w:val="20"/>
    </w:rPr>
  </w:style>
  <w:style w:type="character" w:styleId="ListLabel152" w:customStyle="1">
    <w:name w:val="ListLabel 152"/>
    <w:qFormat/>
    <w:rPr>
      <w:b w:val="false"/>
      <w:i w:val="false"/>
      <w:color w:val="00000A"/>
      <w:sz w:val="20"/>
      <w:szCs w:val="20"/>
    </w:rPr>
  </w:style>
  <w:style w:type="character" w:styleId="ListLabel153" w:customStyle="1">
    <w:name w:val="ListLabel 153"/>
    <w:qFormat/>
    <w:rPr>
      <w:b/>
    </w:rPr>
  </w:style>
  <w:style w:type="character" w:styleId="ListLabel154" w:customStyle="1">
    <w:name w:val="ListLabel 154"/>
    <w:qFormat/>
    <w:rPr>
      <w:b w:val="false"/>
      <w:color w:val="00000A"/>
      <w:sz w:val="20"/>
      <w:szCs w:val="20"/>
    </w:rPr>
  </w:style>
  <w:style w:type="character" w:styleId="ListLabel155" w:customStyle="1">
    <w:name w:val="ListLabel 155"/>
    <w:qFormat/>
    <w:rPr>
      <w:b w:val="false"/>
      <w:i w:val="false"/>
      <w:color w:val="00000A"/>
      <w:sz w:val="20"/>
      <w:szCs w:val="20"/>
    </w:rPr>
  </w:style>
  <w:style w:type="character" w:styleId="ListLabel156" w:customStyle="1">
    <w:name w:val="ListLabel 156"/>
    <w:qFormat/>
    <w:rPr>
      <w:b/>
    </w:rPr>
  </w:style>
  <w:style w:type="character" w:styleId="ListLabel157" w:customStyle="1">
    <w:name w:val="ListLabel 157"/>
    <w:qFormat/>
    <w:rPr>
      <w:b w:val="false"/>
      <w:color w:val="00000A"/>
      <w:sz w:val="20"/>
      <w:szCs w:val="20"/>
    </w:rPr>
  </w:style>
  <w:style w:type="character" w:styleId="ListLabel158" w:customStyle="1">
    <w:name w:val="ListLabel 158"/>
    <w:qFormat/>
    <w:rPr>
      <w:b w:val="false"/>
      <w:i w:val="false"/>
      <w:color w:val="00000A"/>
      <w:sz w:val="20"/>
      <w:szCs w:val="20"/>
    </w:rPr>
  </w:style>
  <w:style w:type="character" w:styleId="ListLabel159" w:customStyle="1">
    <w:name w:val="ListLabel 159"/>
    <w:qFormat/>
    <w:rPr>
      <w:b/>
    </w:rPr>
  </w:style>
  <w:style w:type="character" w:styleId="ListLabel160" w:customStyle="1">
    <w:name w:val="ListLabel 160"/>
    <w:qFormat/>
    <w:rPr>
      <w:b w:val="false"/>
      <w:color w:val="00000A"/>
      <w:sz w:val="20"/>
      <w:szCs w:val="20"/>
    </w:rPr>
  </w:style>
  <w:style w:type="character" w:styleId="ListLabel161" w:customStyle="1">
    <w:name w:val="ListLabel 161"/>
    <w:qFormat/>
    <w:rPr>
      <w:b w:val="false"/>
      <w:i w:val="false"/>
      <w:color w:val="00000A"/>
      <w:sz w:val="20"/>
      <w:szCs w:val="20"/>
    </w:rPr>
  </w:style>
  <w:style w:type="character" w:styleId="ListLabel162" w:customStyle="1">
    <w:name w:val="ListLabel 162"/>
    <w:qFormat/>
    <w:rPr>
      <w:b/>
    </w:rPr>
  </w:style>
  <w:style w:type="character" w:styleId="ListLabel163" w:customStyle="1">
    <w:name w:val="ListLabel 163"/>
    <w:qFormat/>
    <w:rPr>
      <w:b w:val="false"/>
      <w:color w:val="00000A"/>
      <w:sz w:val="20"/>
      <w:szCs w:val="20"/>
    </w:rPr>
  </w:style>
  <w:style w:type="character" w:styleId="ListLabel164" w:customStyle="1">
    <w:name w:val="ListLabel 164"/>
    <w:qFormat/>
    <w:rPr>
      <w:b w:val="false"/>
      <w:i w:val="false"/>
      <w:color w:val="00000A"/>
      <w:sz w:val="20"/>
      <w:szCs w:val="20"/>
    </w:rPr>
  </w:style>
  <w:style w:type="character" w:styleId="ListLabel165" w:customStyle="1">
    <w:name w:val="ListLabel 165"/>
    <w:qFormat/>
    <w:rPr>
      <w:b/>
    </w:rPr>
  </w:style>
  <w:style w:type="character" w:styleId="ListLabel166" w:customStyle="1">
    <w:name w:val="ListLabel 166"/>
    <w:qFormat/>
    <w:rPr>
      <w:b w:val="false"/>
      <w:color w:val="00000A"/>
      <w:sz w:val="20"/>
      <w:szCs w:val="20"/>
    </w:rPr>
  </w:style>
  <w:style w:type="character" w:styleId="ListLabel167" w:customStyle="1">
    <w:name w:val="ListLabel 167"/>
    <w:qFormat/>
    <w:rPr>
      <w:b w:val="false"/>
      <w:i w:val="false"/>
      <w:color w:val="00000A"/>
      <w:sz w:val="20"/>
      <w:szCs w:val="20"/>
    </w:rPr>
  </w:style>
  <w:style w:type="character" w:styleId="ListLabel168" w:customStyle="1">
    <w:name w:val="ListLabel 168"/>
    <w:qFormat/>
    <w:rPr>
      <w:b/>
    </w:rPr>
  </w:style>
  <w:style w:type="character" w:styleId="ListLabel169" w:customStyle="1">
    <w:name w:val="ListLabel 169"/>
    <w:qFormat/>
    <w:rPr>
      <w:b w:val="false"/>
      <w:color w:val="00000A"/>
      <w:sz w:val="20"/>
      <w:szCs w:val="20"/>
    </w:rPr>
  </w:style>
  <w:style w:type="character" w:styleId="ListLabel170" w:customStyle="1">
    <w:name w:val="ListLabel 170"/>
    <w:qFormat/>
    <w:rPr>
      <w:b w:val="false"/>
      <w:i w:val="false"/>
      <w:color w:val="00000A"/>
      <w:sz w:val="20"/>
      <w:szCs w:val="20"/>
    </w:rPr>
  </w:style>
  <w:style w:type="character" w:styleId="ListLabel171" w:customStyle="1">
    <w:name w:val="ListLabel 171"/>
    <w:qFormat/>
    <w:rPr>
      <w:b/>
    </w:rPr>
  </w:style>
  <w:style w:type="character" w:styleId="ListLabel172" w:customStyle="1">
    <w:name w:val="ListLabel 172"/>
    <w:qFormat/>
    <w:rPr>
      <w:b w:val="false"/>
      <w:color w:val="00000A"/>
      <w:sz w:val="20"/>
      <w:szCs w:val="20"/>
    </w:rPr>
  </w:style>
  <w:style w:type="character" w:styleId="ListLabel173" w:customStyle="1">
    <w:name w:val="ListLabel 173"/>
    <w:qFormat/>
    <w:rPr>
      <w:b w:val="false"/>
      <w:i w:val="false"/>
      <w:color w:val="00000A"/>
      <w:sz w:val="20"/>
      <w:szCs w:val="20"/>
    </w:rPr>
  </w:style>
  <w:style w:type="character" w:styleId="ListLabel174" w:customStyle="1">
    <w:name w:val="ListLabel 174"/>
    <w:qFormat/>
    <w:rPr>
      <w:b/>
    </w:rPr>
  </w:style>
  <w:style w:type="character" w:styleId="ListLabel175" w:customStyle="1">
    <w:name w:val="ListLabel 175"/>
    <w:qFormat/>
    <w:rPr>
      <w:b w:val="false"/>
      <w:color w:val="00000A"/>
      <w:sz w:val="20"/>
      <w:szCs w:val="20"/>
    </w:rPr>
  </w:style>
  <w:style w:type="character" w:styleId="ListLabel176" w:customStyle="1">
    <w:name w:val="ListLabel 176"/>
    <w:qFormat/>
    <w:rPr>
      <w:b w:val="false"/>
      <w:i w:val="false"/>
      <w:color w:val="00000A"/>
      <w:sz w:val="20"/>
      <w:szCs w:val="20"/>
    </w:rPr>
  </w:style>
  <w:style w:type="character" w:styleId="ListLabel177" w:customStyle="1">
    <w:name w:val="ListLabel 177"/>
    <w:qFormat/>
    <w:rPr>
      <w:b/>
    </w:rPr>
  </w:style>
  <w:style w:type="character" w:styleId="ListLabel178" w:customStyle="1">
    <w:name w:val="ListLabel 178"/>
    <w:qFormat/>
    <w:rPr>
      <w:b w:val="false"/>
      <w:color w:val="00000A"/>
      <w:sz w:val="20"/>
      <w:szCs w:val="20"/>
    </w:rPr>
  </w:style>
  <w:style w:type="character" w:styleId="ListLabel179" w:customStyle="1">
    <w:name w:val="ListLabel 179"/>
    <w:qFormat/>
    <w:rPr>
      <w:b w:val="false"/>
      <w:i w:val="false"/>
      <w:color w:val="00000A"/>
      <w:sz w:val="20"/>
      <w:szCs w:val="20"/>
    </w:rPr>
  </w:style>
  <w:style w:type="character" w:styleId="ListLabel180" w:customStyle="1">
    <w:name w:val="ListLabel 180"/>
    <w:qFormat/>
    <w:rPr>
      <w:b/>
    </w:rPr>
  </w:style>
  <w:style w:type="character" w:styleId="ListLabel181" w:customStyle="1">
    <w:name w:val="ListLabel 181"/>
    <w:qFormat/>
    <w:rPr>
      <w:b w:val="false"/>
      <w:color w:val="00000A"/>
      <w:sz w:val="20"/>
      <w:szCs w:val="20"/>
    </w:rPr>
  </w:style>
  <w:style w:type="character" w:styleId="ListLabel182" w:customStyle="1">
    <w:name w:val="ListLabel 182"/>
    <w:qFormat/>
    <w:rPr>
      <w:b w:val="false"/>
      <w:i w:val="false"/>
      <w:color w:val="00000A"/>
      <w:sz w:val="20"/>
      <w:szCs w:val="20"/>
    </w:rPr>
  </w:style>
  <w:style w:type="character" w:styleId="ListLabel183" w:customStyle="1">
    <w:name w:val="ListLabel 183"/>
    <w:qFormat/>
    <w:rPr>
      <w:b/>
    </w:rPr>
  </w:style>
  <w:style w:type="character" w:styleId="ListLabel184" w:customStyle="1">
    <w:name w:val="ListLabel 184"/>
    <w:qFormat/>
    <w:rPr>
      <w:b w:val="false"/>
      <w:color w:val="00000A"/>
      <w:sz w:val="20"/>
      <w:szCs w:val="20"/>
    </w:rPr>
  </w:style>
  <w:style w:type="character" w:styleId="ListLabel185" w:customStyle="1">
    <w:name w:val="ListLabel 185"/>
    <w:qFormat/>
    <w:rPr>
      <w:b w:val="false"/>
      <w:i w:val="false"/>
      <w:color w:val="00000A"/>
      <w:sz w:val="20"/>
      <w:szCs w:val="20"/>
    </w:rPr>
  </w:style>
  <w:style w:type="character" w:styleId="ListLabel186" w:customStyle="1">
    <w:name w:val="ListLabel 186"/>
    <w:qFormat/>
    <w:rPr>
      <w:b/>
    </w:rPr>
  </w:style>
  <w:style w:type="character" w:styleId="ListLabel187" w:customStyle="1">
    <w:name w:val="ListLabel 187"/>
    <w:qFormat/>
    <w:rPr>
      <w:b w:val="false"/>
      <w:color w:val="00000A"/>
      <w:sz w:val="20"/>
      <w:szCs w:val="20"/>
    </w:rPr>
  </w:style>
  <w:style w:type="character" w:styleId="ListLabel188" w:customStyle="1">
    <w:name w:val="ListLabel 188"/>
    <w:qFormat/>
    <w:rPr>
      <w:b w:val="false"/>
      <w:i w:val="false"/>
      <w:color w:val="00000A"/>
      <w:sz w:val="20"/>
      <w:szCs w:val="20"/>
    </w:rPr>
  </w:style>
  <w:style w:type="character" w:styleId="ListLabel189" w:customStyle="1">
    <w:name w:val="ListLabel 189"/>
    <w:qFormat/>
    <w:rPr>
      <w:b/>
    </w:rPr>
  </w:style>
  <w:style w:type="character" w:styleId="ListLabel190" w:customStyle="1">
    <w:name w:val="ListLabel 190"/>
    <w:qFormat/>
    <w:rPr>
      <w:b w:val="false"/>
      <w:color w:val="00000A"/>
      <w:sz w:val="20"/>
      <w:szCs w:val="20"/>
    </w:rPr>
  </w:style>
  <w:style w:type="character" w:styleId="ListLabel191" w:customStyle="1">
    <w:name w:val="ListLabel 191"/>
    <w:qFormat/>
    <w:rPr>
      <w:b w:val="false"/>
      <w:i w:val="false"/>
      <w:color w:val="00000A"/>
      <w:sz w:val="20"/>
      <w:szCs w:val="20"/>
    </w:rPr>
  </w:style>
  <w:style w:type="character" w:styleId="ListLabel192" w:customStyle="1">
    <w:name w:val="ListLabel 192"/>
    <w:qFormat/>
    <w:rPr>
      <w:b/>
    </w:rPr>
  </w:style>
  <w:style w:type="character" w:styleId="ListLabel193" w:customStyle="1">
    <w:name w:val="ListLabel 193"/>
    <w:qFormat/>
    <w:rPr>
      <w:b w:val="false"/>
      <w:color w:val="00000A"/>
      <w:sz w:val="20"/>
      <w:szCs w:val="20"/>
    </w:rPr>
  </w:style>
  <w:style w:type="character" w:styleId="ListLabel194" w:customStyle="1">
    <w:name w:val="ListLabel 194"/>
    <w:qFormat/>
    <w:rPr>
      <w:b w:val="false"/>
      <w:i w:val="false"/>
      <w:color w:val="00000A"/>
      <w:sz w:val="20"/>
      <w:szCs w:val="20"/>
    </w:rPr>
  </w:style>
  <w:style w:type="character" w:styleId="ListLabel195" w:customStyle="1">
    <w:name w:val="ListLabel 195"/>
    <w:qFormat/>
    <w:rPr>
      <w:rFonts w:ascii="Times New Roman" w:hAnsi="Times New Roman"/>
      <w:b/>
      <w:sz w:val="22"/>
    </w:rPr>
  </w:style>
  <w:style w:type="character" w:styleId="ListLabel196" w:customStyle="1">
    <w:name w:val="ListLabel 196"/>
    <w:qFormat/>
    <w:rPr>
      <w:rFonts w:ascii="Times New Roman" w:hAnsi="Times New Roman"/>
      <w:b/>
      <w:sz w:val="22"/>
    </w:rPr>
  </w:style>
  <w:style w:type="character" w:styleId="ListLabel197" w:customStyle="1">
    <w:name w:val="ListLabel 197"/>
    <w:qFormat/>
    <w:rPr>
      <w:b/>
      <w:i w:val="false"/>
    </w:rPr>
  </w:style>
  <w:style w:type="character" w:styleId="ListLabel198" w:customStyle="1">
    <w:name w:val="ListLabel 198"/>
    <w:qFormat/>
    <w:rPr>
      <w:b w:val="false"/>
      <w:i w:val="false"/>
      <w:color w:val="00000A"/>
    </w:rPr>
  </w:style>
  <w:style w:type="character" w:styleId="ListLabel199" w:customStyle="1">
    <w:name w:val="ListLabel 199"/>
    <w:qFormat/>
    <w:rPr>
      <w:b w:val="false"/>
      <w:i w:val="false"/>
    </w:rPr>
  </w:style>
  <w:style w:type="character" w:styleId="ListLabel200" w:customStyle="1">
    <w:name w:val="ListLabel 200"/>
    <w:qFormat/>
    <w:rPr>
      <w:b/>
      <w:i w:val="false"/>
    </w:rPr>
  </w:style>
  <w:style w:type="character" w:styleId="ListLabel201" w:customStyle="1">
    <w:name w:val="ListLabel 201"/>
    <w:qFormat/>
    <w:rPr>
      <w:b/>
      <w:i w:val="false"/>
    </w:rPr>
  </w:style>
  <w:style w:type="character" w:styleId="ListLabel202" w:customStyle="1">
    <w:name w:val="ListLabel 202"/>
    <w:qFormat/>
    <w:rPr>
      <w:b w:val="false"/>
      <w:color w:val="000000"/>
      <w:sz w:val="22"/>
      <w:szCs w:val="22"/>
    </w:rPr>
  </w:style>
  <w:style w:type="character" w:styleId="ListLabel203" w:customStyle="1">
    <w:name w:val="ListLabel 203"/>
    <w:qFormat/>
    <w:rPr>
      <w:b w:val="false"/>
      <w:color w:val="000000"/>
      <w:sz w:val="22"/>
      <w:szCs w:val="22"/>
    </w:rPr>
  </w:style>
  <w:style w:type="character" w:styleId="ListLabel204" w:customStyle="1">
    <w:name w:val="ListLabel 204"/>
    <w:qFormat/>
    <w:rPr>
      <w:b w:val="false"/>
      <w:color w:val="000000"/>
      <w:sz w:val="22"/>
      <w:szCs w:val="22"/>
    </w:rPr>
  </w:style>
  <w:style w:type="character" w:styleId="Marcas" w:customStyle="1">
    <w:name w:val="Marcas"/>
    <w:qFormat/>
    <w:rPr>
      <w:rFonts w:ascii="OpenSymbol" w:hAnsi="OpenSymbol" w:eastAsia="OpenSymbol" w:cs="OpenSymbol"/>
    </w:rPr>
  </w:style>
  <w:style w:type="character" w:styleId="ListLabel205" w:customStyle="1">
    <w:name w:val="ListLabel 205"/>
    <w:qFormat/>
    <w:rPr>
      <w:rFonts w:ascii="Times New Roman" w:hAnsi="Times New Roman"/>
      <w:b w:val="false"/>
      <w:color w:val="000000"/>
      <w:sz w:val="22"/>
      <w:szCs w:val="22"/>
    </w:rPr>
  </w:style>
  <w:style w:type="character" w:styleId="ListLabel206" w:customStyle="1">
    <w:name w:val="ListLabel 206"/>
    <w:qFormat/>
    <w:rPr>
      <w:rFonts w:ascii="Times New Roman" w:hAnsi="Times New Roman" w:cs="Calibri"/>
      <w:b/>
      <w:sz w:val="22"/>
      <w:szCs w:val="22"/>
    </w:rPr>
  </w:style>
  <w:style w:type="character" w:styleId="ListLabel207" w:customStyle="1">
    <w:name w:val="ListLabel 207"/>
    <w:qFormat/>
    <w:rPr>
      <w:rFonts w:ascii="Times New Roman" w:hAnsi="Times New Roman" w:cs="Calibri"/>
      <w:b/>
      <w:sz w:val="22"/>
      <w:szCs w:val="22"/>
    </w:rPr>
  </w:style>
  <w:style w:type="character" w:styleId="ListLabel208" w:customStyle="1">
    <w:name w:val="ListLabel 208"/>
    <w:qFormat/>
    <w:rPr>
      <w:rFonts w:ascii="Times New Roman" w:hAnsi="Times New Roman"/>
      <w:b/>
      <w:sz w:val="22"/>
    </w:rPr>
  </w:style>
  <w:style w:type="character" w:styleId="ListLabel209" w:customStyle="1">
    <w:name w:val="ListLabel 209"/>
    <w:qFormat/>
    <w:rPr>
      <w:rFonts w:ascii="Times New Roman" w:hAnsi="Times New Roman"/>
      <w:b/>
      <w:sz w:val="22"/>
    </w:rPr>
  </w:style>
  <w:style w:type="character" w:styleId="ListLabel210" w:customStyle="1">
    <w:name w:val="ListLabel 210"/>
    <w:qFormat/>
    <w:rPr>
      <w:rFonts w:ascii="Times New Roman" w:hAnsi="Times New Roman" w:cs="OpenSymbol"/>
    </w:rPr>
  </w:style>
  <w:style w:type="character" w:styleId="ListLabel211" w:customStyle="1">
    <w:name w:val="ListLabel 211"/>
    <w:qFormat/>
    <w:rPr>
      <w:rFonts w:cs="OpenSymbol"/>
    </w:rPr>
  </w:style>
  <w:style w:type="character" w:styleId="ListLabel212" w:customStyle="1">
    <w:name w:val="ListLabel 212"/>
    <w:qFormat/>
    <w:rPr>
      <w:rFonts w:cs="OpenSymbol"/>
    </w:rPr>
  </w:style>
  <w:style w:type="character" w:styleId="ListLabel213" w:customStyle="1">
    <w:name w:val="ListLabel 213"/>
    <w:qFormat/>
    <w:rPr>
      <w:rFonts w:cs="OpenSymbol"/>
    </w:rPr>
  </w:style>
  <w:style w:type="character" w:styleId="ListLabel214" w:customStyle="1">
    <w:name w:val="ListLabel 214"/>
    <w:qFormat/>
    <w:rPr>
      <w:rFonts w:cs="OpenSymbol"/>
    </w:rPr>
  </w:style>
  <w:style w:type="character" w:styleId="ListLabel215" w:customStyle="1">
    <w:name w:val="ListLabel 215"/>
    <w:qFormat/>
    <w:rPr>
      <w:rFonts w:cs="OpenSymbol"/>
    </w:rPr>
  </w:style>
  <w:style w:type="character" w:styleId="ListLabel216" w:customStyle="1">
    <w:name w:val="ListLabel 216"/>
    <w:qFormat/>
    <w:rPr>
      <w:rFonts w:cs="OpenSymbol"/>
    </w:rPr>
  </w:style>
  <w:style w:type="character" w:styleId="ListLabel217" w:customStyle="1">
    <w:name w:val="ListLabel 217"/>
    <w:qFormat/>
    <w:rPr>
      <w:rFonts w:cs="OpenSymbol"/>
    </w:rPr>
  </w:style>
  <w:style w:type="character" w:styleId="ListLabel218" w:customStyle="1">
    <w:name w:val="ListLabel 218"/>
    <w:qFormat/>
    <w:rPr>
      <w:rFonts w:cs="OpenSymbol"/>
    </w:rPr>
  </w:style>
  <w:style w:type="character" w:styleId="ListLabel219" w:customStyle="1">
    <w:name w:val="ListLabel 219"/>
    <w:qFormat/>
    <w:rPr>
      <w:rFonts w:ascii="Times New Roman" w:hAnsi="Times New Roman" w:cs="OpenSymbol"/>
      <w:sz w:val="22"/>
    </w:rPr>
  </w:style>
  <w:style w:type="character" w:styleId="ListLabel220" w:customStyle="1">
    <w:name w:val="ListLabel 220"/>
    <w:qFormat/>
    <w:rPr>
      <w:rFonts w:cs="OpenSymbol"/>
    </w:rPr>
  </w:style>
  <w:style w:type="character" w:styleId="ListLabel221" w:customStyle="1">
    <w:name w:val="ListLabel 221"/>
    <w:qFormat/>
    <w:rPr>
      <w:rFonts w:cs="OpenSymbol"/>
    </w:rPr>
  </w:style>
  <w:style w:type="character" w:styleId="ListLabel222" w:customStyle="1">
    <w:name w:val="ListLabel 222"/>
    <w:qFormat/>
    <w:rPr>
      <w:rFonts w:cs="OpenSymbol"/>
    </w:rPr>
  </w:style>
  <w:style w:type="character" w:styleId="ListLabel223" w:customStyle="1">
    <w:name w:val="ListLabel 223"/>
    <w:qFormat/>
    <w:rPr>
      <w:rFonts w:cs="OpenSymbol"/>
    </w:rPr>
  </w:style>
  <w:style w:type="character" w:styleId="ListLabel224" w:customStyle="1">
    <w:name w:val="ListLabel 224"/>
    <w:qFormat/>
    <w:rPr>
      <w:rFonts w:cs="OpenSymbol"/>
    </w:rPr>
  </w:style>
  <w:style w:type="character" w:styleId="ListLabel225" w:customStyle="1">
    <w:name w:val="ListLabel 225"/>
    <w:qFormat/>
    <w:rPr>
      <w:rFonts w:cs="OpenSymbol"/>
    </w:rPr>
  </w:style>
  <w:style w:type="character" w:styleId="ListLabel226" w:customStyle="1">
    <w:name w:val="ListLabel 226"/>
    <w:qFormat/>
    <w:rPr>
      <w:rFonts w:cs="OpenSymbol"/>
    </w:rPr>
  </w:style>
  <w:style w:type="character" w:styleId="ListLabel227" w:customStyle="1">
    <w:name w:val="ListLabel 227"/>
    <w:qFormat/>
    <w:rPr>
      <w:rFonts w:cs="OpenSymbol"/>
    </w:rPr>
  </w:style>
  <w:style w:type="character" w:styleId="ListLabel228" w:customStyle="1">
    <w:name w:val="ListLabel 228"/>
    <w:qFormat/>
    <w:rPr>
      <w:rFonts w:ascii="Times New Roman" w:hAnsi="Times New Roman" w:cs="OpenSymbol"/>
      <w:sz w:val="22"/>
    </w:rPr>
  </w:style>
  <w:style w:type="character" w:styleId="ListLabel229" w:customStyle="1">
    <w:name w:val="ListLabel 229"/>
    <w:qFormat/>
    <w:rPr>
      <w:rFonts w:cs="OpenSymbol"/>
    </w:rPr>
  </w:style>
  <w:style w:type="character" w:styleId="ListLabel230" w:customStyle="1">
    <w:name w:val="ListLabel 230"/>
    <w:qFormat/>
    <w:rPr>
      <w:rFonts w:cs="OpenSymbol"/>
    </w:rPr>
  </w:style>
  <w:style w:type="character" w:styleId="ListLabel231" w:customStyle="1">
    <w:name w:val="ListLabel 231"/>
    <w:qFormat/>
    <w:rPr>
      <w:rFonts w:cs="OpenSymbol"/>
    </w:rPr>
  </w:style>
  <w:style w:type="character" w:styleId="ListLabel232" w:customStyle="1">
    <w:name w:val="ListLabel 232"/>
    <w:qFormat/>
    <w:rPr>
      <w:rFonts w:cs="OpenSymbol"/>
    </w:rPr>
  </w:style>
  <w:style w:type="character" w:styleId="ListLabel233" w:customStyle="1">
    <w:name w:val="ListLabel 233"/>
    <w:qFormat/>
    <w:rPr>
      <w:rFonts w:cs="OpenSymbol"/>
    </w:rPr>
  </w:style>
  <w:style w:type="character" w:styleId="ListLabel234" w:customStyle="1">
    <w:name w:val="ListLabel 234"/>
    <w:qFormat/>
    <w:rPr>
      <w:rFonts w:cs="OpenSymbol"/>
    </w:rPr>
  </w:style>
  <w:style w:type="character" w:styleId="ListLabel235" w:customStyle="1">
    <w:name w:val="ListLabel 235"/>
    <w:qFormat/>
    <w:rPr>
      <w:rFonts w:cs="OpenSymbol"/>
    </w:rPr>
  </w:style>
  <w:style w:type="character" w:styleId="ListLabel236" w:customStyle="1">
    <w:name w:val="ListLabel 236"/>
    <w:qFormat/>
    <w:rPr>
      <w:rFonts w:cs="OpenSymbol"/>
    </w:rPr>
  </w:style>
  <w:style w:type="character" w:styleId="ListLabel237" w:customStyle="1">
    <w:name w:val="ListLabel 237"/>
    <w:qFormat/>
    <w:rPr>
      <w:rFonts w:ascii="Times New Roman" w:hAnsi="Times New Roman" w:cs="OpenSymbol"/>
      <w:sz w:val="22"/>
    </w:rPr>
  </w:style>
  <w:style w:type="character" w:styleId="ListLabel238" w:customStyle="1">
    <w:name w:val="ListLabel 238"/>
    <w:qFormat/>
    <w:rPr>
      <w:rFonts w:cs="OpenSymbol"/>
    </w:rPr>
  </w:style>
  <w:style w:type="character" w:styleId="ListLabel239" w:customStyle="1">
    <w:name w:val="ListLabel 239"/>
    <w:qFormat/>
    <w:rPr>
      <w:rFonts w:cs="OpenSymbol"/>
    </w:rPr>
  </w:style>
  <w:style w:type="character" w:styleId="ListLabel240" w:customStyle="1">
    <w:name w:val="ListLabel 240"/>
    <w:qFormat/>
    <w:rPr>
      <w:rFonts w:cs="OpenSymbol"/>
    </w:rPr>
  </w:style>
  <w:style w:type="character" w:styleId="ListLabel241" w:customStyle="1">
    <w:name w:val="ListLabel 241"/>
    <w:qFormat/>
    <w:rPr>
      <w:rFonts w:cs="OpenSymbol"/>
    </w:rPr>
  </w:style>
  <w:style w:type="character" w:styleId="ListLabel242" w:customStyle="1">
    <w:name w:val="ListLabel 242"/>
    <w:qFormat/>
    <w:rPr>
      <w:rFonts w:cs="OpenSymbol"/>
    </w:rPr>
  </w:style>
  <w:style w:type="character" w:styleId="ListLabel243" w:customStyle="1">
    <w:name w:val="ListLabel 243"/>
    <w:qFormat/>
    <w:rPr>
      <w:rFonts w:cs="OpenSymbol"/>
    </w:rPr>
  </w:style>
  <w:style w:type="character" w:styleId="ListLabel244" w:customStyle="1">
    <w:name w:val="ListLabel 244"/>
    <w:qFormat/>
    <w:rPr>
      <w:rFonts w:cs="OpenSymbol"/>
    </w:rPr>
  </w:style>
  <w:style w:type="character" w:styleId="ListLabel245" w:customStyle="1">
    <w:name w:val="ListLabel 245"/>
    <w:qFormat/>
    <w:rPr>
      <w:rFonts w:cs="OpenSymbol"/>
    </w:rPr>
  </w:style>
  <w:style w:type="character" w:styleId="ListLabel246" w:customStyle="1">
    <w:name w:val="ListLabel 246"/>
    <w:qFormat/>
    <w:rPr>
      <w:b w:val="false"/>
      <w:color w:val="000000"/>
      <w:sz w:val="22"/>
      <w:szCs w:val="22"/>
    </w:rPr>
  </w:style>
  <w:style w:type="character" w:styleId="ListLabel247" w:customStyle="1">
    <w:name w:val="ListLabel 247"/>
    <w:qFormat/>
    <w:rPr>
      <w:rFonts w:ascii="Times New Roman" w:hAnsi="Times New Roman" w:cs="Calibri"/>
      <w:b/>
      <w:sz w:val="22"/>
      <w:szCs w:val="22"/>
    </w:rPr>
  </w:style>
  <w:style w:type="character" w:styleId="ListLabel248" w:customStyle="1">
    <w:name w:val="ListLabel 248"/>
    <w:qFormat/>
    <w:rPr>
      <w:rFonts w:ascii="Times New Roman" w:hAnsi="Times New Roman" w:cs="Calibri"/>
      <w:b/>
      <w:sz w:val="22"/>
      <w:szCs w:val="22"/>
    </w:rPr>
  </w:style>
  <w:style w:type="character" w:styleId="ListLabel249" w:customStyle="1">
    <w:name w:val="ListLabel 249"/>
    <w:qFormat/>
    <w:rPr>
      <w:rFonts w:ascii="Times New Roman" w:hAnsi="Times New Roman"/>
      <w:b/>
      <w:sz w:val="22"/>
    </w:rPr>
  </w:style>
  <w:style w:type="character" w:styleId="ListLabel250" w:customStyle="1">
    <w:name w:val="ListLabel 250"/>
    <w:qFormat/>
    <w:rPr>
      <w:rFonts w:ascii="Times New Roman" w:hAnsi="Times New Roman"/>
      <w:b/>
      <w:color w:val="00000A"/>
      <w:sz w:val="22"/>
    </w:rPr>
  </w:style>
  <w:style w:type="character" w:styleId="ListLabel251" w:customStyle="1">
    <w:name w:val="ListLabel 251"/>
    <w:qFormat/>
    <w:rPr>
      <w:rFonts w:cs="OpenSymbol"/>
    </w:rPr>
  </w:style>
  <w:style w:type="character" w:styleId="ListLabel252" w:customStyle="1">
    <w:name w:val="ListLabel 252"/>
    <w:qFormat/>
    <w:rPr>
      <w:rFonts w:cs="OpenSymbol"/>
    </w:rPr>
  </w:style>
  <w:style w:type="character" w:styleId="ListLabel253" w:customStyle="1">
    <w:name w:val="ListLabel 253"/>
    <w:qFormat/>
    <w:rPr>
      <w:rFonts w:cs="OpenSymbol"/>
    </w:rPr>
  </w:style>
  <w:style w:type="character" w:styleId="ListLabel254" w:customStyle="1">
    <w:name w:val="ListLabel 254"/>
    <w:qFormat/>
    <w:rPr>
      <w:rFonts w:cs="OpenSymbol"/>
    </w:rPr>
  </w:style>
  <w:style w:type="character" w:styleId="ListLabel255" w:customStyle="1">
    <w:name w:val="ListLabel 255"/>
    <w:qFormat/>
    <w:rPr>
      <w:rFonts w:cs="OpenSymbol"/>
    </w:rPr>
  </w:style>
  <w:style w:type="character" w:styleId="ListLabel256" w:customStyle="1">
    <w:name w:val="ListLabel 256"/>
    <w:qFormat/>
    <w:rPr>
      <w:rFonts w:cs="OpenSymbol"/>
    </w:rPr>
  </w:style>
  <w:style w:type="character" w:styleId="ListLabel257" w:customStyle="1">
    <w:name w:val="ListLabel 257"/>
    <w:qFormat/>
    <w:rPr>
      <w:rFonts w:cs="OpenSymbol"/>
    </w:rPr>
  </w:style>
  <w:style w:type="character" w:styleId="ListLabel258" w:customStyle="1">
    <w:name w:val="ListLabel 258"/>
    <w:qFormat/>
    <w:rPr>
      <w:rFonts w:cs="OpenSymbol"/>
    </w:rPr>
  </w:style>
  <w:style w:type="character" w:styleId="ListLabel259" w:customStyle="1">
    <w:name w:val="ListLabel 259"/>
    <w:qFormat/>
    <w:rPr>
      <w:rFonts w:cs="OpenSymbol"/>
    </w:rPr>
  </w:style>
  <w:style w:type="character" w:styleId="ListLabel260" w:customStyle="1">
    <w:name w:val="ListLabel 260"/>
    <w:qFormat/>
    <w:rPr>
      <w:rFonts w:cs="OpenSymbol"/>
      <w:sz w:val="22"/>
    </w:rPr>
  </w:style>
  <w:style w:type="character" w:styleId="ListLabel261" w:customStyle="1">
    <w:name w:val="ListLabel 261"/>
    <w:qFormat/>
    <w:rPr>
      <w:rFonts w:cs="OpenSymbol"/>
    </w:rPr>
  </w:style>
  <w:style w:type="character" w:styleId="ListLabel262" w:customStyle="1">
    <w:name w:val="ListLabel 262"/>
    <w:qFormat/>
    <w:rPr>
      <w:rFonts w:cs="OpenSymbol"/>
    </w:rPr>
  </w:style>
  <w:style w:type="character" w:styleId="ListLabel263" w:customStyle="1">
    <w:name w:val="ListLabel 263"/>
    <w:qFormat/>
    <w:rPr>
      <w:rFonts w:cs="OpenSymbol"/>
    </w:rPr>
  </w:style>
  <w:style w:type="character" w:styleId="ListLabel264" w:customStyle="1">
    <w:name w:val="ListLabel 264"/>
    <w:qFormat/>
    <w:rPr>
      <w:rFonts w:cs="OpenSymbol"/>
    </w:rPr>
  </w:style>
  <w:style w:type="character" w:styleId="ListLabel265" w:customStyle="1">
    <w:name w:val="ListLabel 265"/>
    <w:qFormat/>
    <w:rPr>
      <w:rFonts w:cs="OpenSymbol"/>
    </w:rPr>
  </w:style>
  <w:style w:type="character" w:styleId="ListLabel266" w:customStyle="1">
    <w:name w:val="ListLabel 266"/>
    <w:qFormat/>
    <w:rPr>
      <w:rFonts w:cs="OpenSymbol"/>
    </w:rPr>
  </w:style>
  <w:style w:type="character" w:styleId="ListLabel267" w:customStyle="1">
    <w:name w:val="ListLabel 267"/>
    <w:qFormat/>
    <w:rPr>
      <w:rFonts w:cs="OpenSymbol"/>
    </w:rPr>
  </w:style>
  <w:style w:type="character" w:styleId="ListLabel268" w:customStyle="1">
    <w:name w:val="ListLabel 268"/>
    <w:qFormat/>
    <w:rPr>
      <w:rFonts w:cs="OpenSymbol"/>
    </w:rPr>
  </w:style>
  <w:style w:type="character" w:styleId="ListLabel269" w:customStyle="1">
    <w:name w:val="ListLabel 269"/>
    <w:qFormat/>
    <w:rPr>
      <w:rFonts w:cs="OpenSymbol"/>
      <w:sz w:val="22"/>
    </w:rPr>
  </w:style>
  <w:style w:type="character" w:styleId="ListLabel270" w:customStyle="1">
    <w:name w:val="ListLabel 270"/>
    <w:qFormat/>
    <w:rPr>
      <w:rFonts w:cs="OpenSymbol"/>
    </w:rPr>
  </w:style>
  <w:style w:type="character" w:styleId="ListLabel271" w:customStyle="1">
    <w:name w:val="ListLabel 271"/>
    <w:qFormat/>
    <w:rPr>
      <w:rFonts w:cs="OpenSymbol"/>
    </w:rPr>
  </w:style>
  <w:style w:type="character" w:styleId="ListLabel272" w:customStyle="1">
    <w:name w:val="ListLabel 272"/>
    <w:qFormat/>
    <w:rPr>
      <w:rFonts w:cs="OpenSymbol"/>
    </w:rPr>
  </w:style>
  <w:style w:type="character" w:styleId="ListLabel273" w:customStyle="1">
    <w:name w:val="ListLabel 273"/>
    <w:qFormat/>
    <w:rPr>
      <w:rFonts w:cs="OpenSymbol"/>
    </w:rPr>
  </w:style>
  <w:style w:type="character" w:styleId="ListLabel274" w:customStyle="1">
    <w:name w:val="ListLabel 274"/>
    <w:qFormat/>
    <w:rPr>
      <w:rFonts w:cs="OpenSymbol"/>
    </w:rPr>
  </w:style>
  <w:style w:type="character" w:styleId="ListLabel275" w:customStyle="1">
    <w:name w:val="ListLabel 275"/>
    <w:qFormat/>
    <w:rPr>
      <w:rFonts w:cs="OpenSymbol"/>
    </w:rPr>
  </w:style>
  <w:style w:type="character" w:styleId="ListLabel276" w:customStyle="1">
    <w:name w:val="ListLabel 276"/>
    <w:qFormat/>
    <w:rPr>
      <w:rFonts w:cs="OpenSymbol"/>
    </w:rPr>
  </w:style>
  <w:style w:type="character" w:styleId="ListLabel277" w:customStyle="1">
    <w:name w:val="ListLabel 277"/>
    <w:qFormat/>
    <w:rPr>
      <w:rFonts w:cs="OpenSymbol"/>
    </w:rPr>
  </w:style>
  <w:style w:type="character" w:styleId="ListLabel278" w:customStyle="1">
    <w:name w:val="ListLabel 278"/>
    <w:qFormat/>
    <w:rPr>
      <w:rFonts w:cs="OpenSymbol"/>
      <w:sz w:val="22"/>
    </w:rPr>
  </w:style>
  <w:style w:type="character" w:styleId="ListLabel279" w:customStyle="1">
    <w:name w:val="ListLabel 279"/>
    <w:qFormat/>
    <w:rPr>
      <w:rFonts w:cs="OpenSymbol"/>
    </w:rPr>
  </w:style>
  <w:style w:type="character" w:styleId="ListLabel280" w:customStyle="1">
    <w:name w:val="ListLabel 280"/>
    <w:qFormat/>
    <w:rPr>
      <w:rFonts w:cs="OpenSymbol"/>
    </w:rPr>
  </w:style>
  <w:style w:type="character" w:styleId="ListLabel281" w:customStyle="1">
    <w:name w:val="ListLabel 281"/>
    <w:qFormat/>
    <w:rPr>
      <w:rFonts w:cs="OpenSymbol"/>
    </w:rPr>
  </w:style>
  <w:style w:type="character" w:styleId="ListLabel282" w:customStyle="1">
    <w:name w:val="ListLabel 282"/>
    <w:qFormat/>
    <w:rPr>
      <w:rFonts w:cs="OpenSymbol"/>
    </w:rPr>
  </w:style>
  <w:style w:type="character" w:styleId="ListLabel283" w:customStyle="1">
    <w:name w:val="ListLabel 283"/>
    <w:qFormat/>
    <w:rPr>
      <w:rFonts w:cs="OpenSymbol"/>
    </w:rPr>
  </w:style>
  <w:style w:type="character" w:styleId="ListLabel284" w:customStyle="1">
    <w:name w:val="ListLabel 284"/>
    <w:qFormat/>
    <w:rPr>
      <w:rFonts w:cs="OpenSymbol"/>
    </w:rPr>
  </w:style>
  <w:style w:type="character" w:styleId="ListLabel285" w:customStyle="1">
    <w:name w:val="ListLabel 285"/>
    <w:qFormat/>
    <w:rPr>
      <w:rFonts w:cs="OpenSymbol"/>
    </w:rPr>
  </w:style>
  <w:style w:type="character" w:styleId="ListLabel286" w:customStyle="1">
    <w:name w:val="ListLabel 286"/>
    <w:qFormat/>
    <w:rPr>
      <w:rFonts w:cs="OpenSymbol"/>
    </w:rPr>
  </w:style>
  <w:style w:type="character" w:styleId="ListLabel287" w:customStyle="1">
    <w:name w:val="ListLabel 287"/>
    <w:qFormat/>
    <w:rPr>
      <w:rFonts w:ascii="Times New Roman" w:hAnsi="Times New Roman" w:cs="Times New Roman"/>
      <w:b/>
    </w:rPr>
  </w:style>
  <w:style w:type="character" w:styleId="ListLabel288" w:customStyle="1">
    <w:name w:val="ListLabel 288"/>
    <w:qFormat/>
    <w:rPr>
      <w:rFonts w:ascii="Times New Roman" w:hAnsi="Times New Roman" w:cs="Times New Roman"/>
      <w:b/>
    </w:rPr>
  </w:style>
  <w:style w:type="character" w:styleId="ListLabel289" w:customStyle="1">
    <w:name w:val="ListLabel 289"/>
    <w:qFormat/>
    <w:rPr>
      <w:rFonts w:ascii="Times New Roman" w:hAnsi="Times New Roman" w:cs="Times New Roman"/>
      <w:b/>
    </w:rPr>
  </w:style>
  <w:style w:type="character" w:styleId="ListLabel290">
    <w:name w:val="ListLabel 290"/>
    <w:qFormat/>
    <w:rPr>
      <w:b w:val="false"/>
      <w:color w:val="000000"/>
      <w:sz w:val="22"/>
      <w:szCs w:val="22"/>
    </w:rPr>
  </w:style>
  <w:style w:type="character" w:styleId="ListLabel291">
    <w:name w:val="ListLabel 291"/>
    <w:qFormat/>
    <w:rPr>
      <w:rFonts w:ascii="Times New Roman" w:hAnsi="Times New Roman" w:cs="Calibri"/>
      <w:b/>
      <w:sz w:val="22"/>
      <w:szCs w:val="22"/>
    </w:rPr>
  </w:style>
  <w:style w:type="character" w:styleId="ListLabel292">
    <w:name w:val="ListLabel 292"/>
    <w:qFormat/>
    <w:rPr>
      <w:rFonts w:ascii="Times New Roman" w:hAnsi="Times New Roman" w:cs="Calibri"/>
      <w:b/>
      <w:sz w:val="22"/>
      <w:szCs w:val="22"/>
    </w:rPr>
  </w:style>
  <w:style w:type="character" w:styleId="ListLabel293">
    <w:name w:val="ListLabel 293"/>
    <w:qFormat/>
    <w:rPr>
      <w:rFonts w:ascii="Times New Roman" w:hAnsi="Times New Roman"/>
      <w:b/>
      <w:sz w:val="22"/>
    </w:rPr>
  </w:style>
  <w:style w:type="character" w:styleId="ListLabel294">
    <w:name w:val="ListLabel 294"/>
    <w:qFormat/>
    <w:rPr>
      <w:rFonts w:ascii="Times New Roman" w:hAnsi="Times New Roman"/>
      <w:b/>
      <w:color w:val="00000A"/>
      <w:sz w:val="22"/>
    </w:rPr>
  </w:style>
  <w:style w:type="character" w:styleId="ListLabel295">
    <w:name w:val="ListLabel 295"/>
    <w:qFormat/>
    <w:rPr>
      <w:rFonts w:ascii="Times New Roman" w:hAnsi="Times New Roman" w:cs="Times New Roman"/>
      <w:b/>
    </w:rPr>
  </w:style>
  <w:style w:type="character" w:styleId="ListLabel296">
    <w:name w:val="ListLabel 296"/>
    <w:qFormat/>
    <w:rPr>
      <w:rFonts w:ascii="Times New Roman" w:hAnsi="Times New Roman" w:cs="Times New Roman"/>
      <w:b/>
    </w:rPr>
  </w:style>
  <w:style w:type="character" w:styleId="ListLabel297">
    <w:name w:val="ListLabel 297"/>
    <w:qFormat/>
    <w:rPr>
      <w:rFonts w:ascii="Times New Roman" w:hAnsi="Times New Roman" w:cs="Times New Roman"/>
      <w:b/>
    </w:rPr>
  </w:style>
  <w:style w:type="character" w:styleId="ListLabel298">
    <w:name w:val="ListLabel 298"/>
    <w:qFormat/>
    <w:rPr>
      <w:b w:val="false"/>
      <w:color w:val="000000"/>
      <w:sz w:val="22"/>
      <w:szCs w:val="22"/>
    </w:rPr>
  </w:style>
  <w:style w:type="character" w:styleId="ListLabel299">
    <w:name w:val="ListLabel 299"/>
    <w:qFormat/>
    <w:rPr>
      <w:rFonts w:ascii="Times New Roman" w:hAnsi="Times New Roman" w:cs="Calibri"/>
      <w:b/>
      <w:sz w:val="22"/>
      <w:szCs w:val="22"/>
    </w:rPr>
  </w:style>
  <w:style w:type="character" w:styleId="ListLabel300">
    <w:name w:val="ListLabel 300"/>
    <w:qFormat/>
    <w:rPr>
      <w:rFonts w:ascii="Times New Roman" w:hAnsi="Times New Roman" w:cs="Calibri"/>
      <w:b/>
      <w:sz w:val="22"/>
      <w:szCs w:val="22"/>
    </w:rPr>
  </w:style>
  <w:style w:type="character" w:styleId="ListLabel301">
    <w:name w:val="ListLabel 301"/>
    <w:qFormat/>
    <w:rPr>
      <w:rFonts w:ascii="Times New Roman" w:hAnsi="Times New Roman"/>
      <w:b/>
      <w:sz w:val="22"/>
    </w:rPr>
  </w:style>
  <w:style w:type="character" w:styleId="ListLabel302">
    <w:name w:val="ListLabel 302"/>
    <w:qFormat/>
    <w:rPr>
      <w:rFonts w:ascii="Times New Roman" w:hAnsi="Times New Roman"/>
      <w:b/>
      <w:color w:val="00000A"/>
      <w:sz w:val="22"/>
    </w:rPr>
  </w:style>
  <w:style w:type="character" w:styleId="ListLabel303">
    <w:name w:val="ListLabel 303"/>
    <w:qFormat/>
    <w:rPr>
      <w:rFonts w:ascii="Times New Roman" w:hAnsi="Times New Roman" w:cs="Times New Roman"/>
      <w:b/>
    </w:rPr>
  </w:style>
  <w:style w:type="character" w:styleId="ListLabel304">
    <w:name w:val="ListLabel 304"/>
    <w:qFormat/>
    <w:rPr>
      <w:rFonts w:ascii="Times New Roman" w:hAnsi="Times New Roman" w:cs="Times New Roman"/>
      <w:b/>
    </w:rPr>
  </w:style>
  <w:style w:type="character" w:styleId="ListLabel305">
    <w:name w:val="ListLabel 305"/>
    <w:qFormat/>
    <w:rPr>
      <w:rFonts w:ascii="Times New Roman" w:hAnsi="Times New Roman" w:cs="Times New Roman"/>
      <w:b/>
    </w:rPr>
  </w:style>
  <w:style w:type="character" w:styleId="ListLabel306">
    <w:name w:val="ListLabel 306"/>
    <w:qFormat/>
    <w:rPr>
      <w:b w:val="false"/>
      <w:color w:val="000000"/>
      <w:sz w:val="22"/>
      <w:szCs w:val="22"/>
    </w:rPr>
  </w:style>
  <w:style w:type="character" w:styleId="ListLabel307">
    <w:name w:val="ListLabel 307"/>
    <w:qFormat/>
    <w:rPr>
      <w:rFonts w:ascii="Times New Roman" w:hAnsi="Times New Roman" w:cs="Calibri"/>
      <w:b/>
      <w:sz w:val="22"/>
      <w:szCs w:val="22"/>
    </w:rPr>
  </w:style>
  <w:style w:type="character" w:styleId="ListLabel308">
    <w:name w:val="ListLabel 308"/>
    <w:qFormat/>
    <w:rPr>
      <w:rFonts w:ascii="Times New Roman" w:hAnsi="Times New Roman" w:cs="Calibri"/>
      <w:b/>
      <w:sz w:val="22"/>
      <w:szCs w:val="22"/>
    </w:rPr>
  </w:style>
  <w:style w:type="character" w:styleId="ListLabel309">
    <w:name w:val="ListLabel 309"/>
    <w:qFormat/>
    <w:rPr>
      <w:rFonts w:ascii="Times New Roman" w:hAnsi="Times New Roman"/>
      <w:b/>
      <w:sz w:val="22"/>
    </w:rPr>
  </w:style>
  <w:style w:type="character" w:styleId="ListLabel310">
    <w:name w:val="ListLabel 310"/>
    <w:qFormat/>
    <w:rPr>
      <w:rFonts w:ascii="Times New Roman" w:hAnsi="Times New Roman"/>
      <w:b/>
      <w:color w:val="00000A"/>
      <w:sz w:val="22"/>
    </w:rPr>
  </w:style>
  <w:style w:type="character" w:styleId="ListLabel311">
    <w:name w:val="ListLabel 311"/>
    <w:qFormat/>
    <w:rPr>
      <w:rFonts w:ascii="Times New Roman" w:hAnsi="Times New Roman" w:cs="Times New Roman"/>
      <w:b/>
    </w:rPr>
  </w:style>
  <w:style w:type="character" w:styleId="ListLabel312">
    <w:name w:val="ListLabel 312"/>
    <w:qFormat/>
    <w:rPr>
      <w:rFonts w:ascii="Times New Roman" w:hAnsi="Times New Roman" w:cs="Times New Roman"/>
      <w:b/>
    </w:rPr>
  </w:style>
  <w:style w:type="character" w:styleId="ListLabel313">
    <w:name w:val="ListLabel 313"/>
    <w:qFormat/>
    <w:rPr>
      <w:rFonts w:ascii="Times New Roman" w:hAnsi="Times New Roman" w:cs="Times New Roman"/>
      <w:b/>
    </w:rPr>
  </w:style>
  <w:style w:type="character" w:styleId="ListLabel314">
    <w:name w:val="ListLabel 314"/>
    <w:qFormat/>
    <w:rPr>
      <w:b w:val="false"/>
      <w:color w:val="000000"/>
      <w:sz w:val="22"/>
      <w:szCs w:val="22"/>
    </w:rPr>
  </w:style>
  <w:style w:type="character" w:styleId="ListLabel315">
    <w:name w:val="ListLabel 315"/>
    <w:qFormat/>
    <w:rPr>
      <w:rFonts w:ascii="Times New Roman" w:hAnsi="Times New Roman" w:cs="Calibri"/>
      <w:b/>
      <w:sz w:val="22"/>
      <w:szCs w:val="22"/>
    </w:rPr>
  </w:style>
  <w:style w:type="character" w:styleId="ListLabel316">
    <w:name w:val="ListLabel 316"/>
    <w:qFormat/>
    <w:rPr>
      <w:rFonts w:ascii="Times New Roman" w:hAnsi="Times New Roman" w:cs="Calibri"/>
      <w:b/>
      <w:sz w:val="22"/>
      <w:szCs w:val="22"/>
    </w:rPr>
  </w:style>
  <w:style w:type="character" w:styleId="ListLabel317">
    <w:name w:val="ListLabel 317"/>
    <w:qFormat/>
    <w:rPr>
      <w:rFonts w:ascii="Times New Roman" w:hAnsi="Times New Roman"/>
      <w:b/>
      <w:sz w:val="22"/>
    </w:rPr>
  </w:style>
  <w:style w:type="character" w:styleId="ListLabel318">
    <w:name w:val="ListLabel 318"/>
    <w:qFormat/>
    <w:rPr>
      <w:rFonts w:ascii="Times New Roman" w:hAnsi="Times New Roman"/>
      <w:b/>
      <w:color w:val="00000A"/>
      <w:sz w:val="22"/>
    </w:rPr>
  </w:style>
  <w:style w:type="character" w:styleId="ListLabel319">
    <w:name w:val="ListLabel 319"/>
    <w:qFormat/>
    <w:rPr>
      <w:rFonts w:ascii="Times New Roman" w:hAnsi="Times New Roman" w:cs="Times New Roman"/>
      <w:b/>
    </w:rPr>
  </w:style>
  <w:style w:type="character" w:styleId="ListLabel320">
    <w:name w:val="ListLabel 320"/>
    <w:qFormat/>
    <w:rPr>
      <w:rFonts w:ascii="Times New Roman" w:hAnsi="Times New Roman" w:cs="Times New Roman"/>
      <w:b/>
    </w:rPr>
  </w:style>
  <w:style w:type="character" w:styleId="ListLabel321">
    <w:name w:val="ListLabel 321"/>
    <w:qFormat/>
    <w:rPr>
      <w:rFonts w:ascii="Times New Roman" w:hAnsi="Times New Roman" w:cs="Times New Roman"/>
      <w:b/>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link w:val="CorpodetextoChar"/>
    <w:rsid w:val="00613100"/>
    <w:pPr>
      <w:widowControl w:val="false"/>
      <w:suppressAutoHyphens w:val="true"/>
      <w:spacing w:lineRule="auto" w:line="240" w:before="0" w:after="120"/>
    </w:pPr>
    <w:rPr>
      <w:rFonts w:ascii="Times New Roman" w:hAnsi="Times New Roman" w:eastAsia="Arial Unicode MS" w:cs="Times New Roman"/>
      <w:sz w:val="24"/>
      <w:szCs w:val="20"/>
      <w:lang w:eastAsia="pt-B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qFormat/>
    <w:pPr>
      <w:keepNext/>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NormalWeb">
    <w:name w:val="Normal (Web)"/>
    <w:basedOn w:val="Normal"/>
    <w:uiPriority w:val="99"/>
    <w:unhideWhenUsed/>
    <w:qFormat/>
    <w:rsid w:val="004e6888"/>
    <w:pPr>
      <w:spacing w:lineRule="auto" w:line="240" w:beforeAutospacing="1" w:afterAutospacing="1"/>
    </w:pPr>
    <w:rPr>
      <w:rFonts w:ascii="Times New Roman" w:hAnsi="Times New Roman" w:eastAsia="Times New Roman" w:cs="Times New Roman"/>
      <w:sz w:val="24"/>
      <w:szCs w:val="24"/>
      <w:lang w:eastAsia="pt-BR"/>
    </w:rPr>
  </w:style>
  <w:style w:type="paragraph" w:styleId="Cabealho">
    <w:name w:val="Header"/>
    <w:basedOn w:val="Normal"/>
    <w:link w:val="CabealhoChar"/>
    <w:uiPriority w:val="99"/>
    <w:unhideWhenUsed/>
    <w:rsid w:val="007e6868"/>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7e6868"/>
    <w:pPr>
      <w:tabs>
        <w:tab w:val="center" w:pos="4252" w:leader="none"/>
        <w:tab w:val="right" w:pos="8504" w:leader="none"/>
      </w:tabs>
      <w:spacing w:lineRule="auto" w:line="240" w:before="0" w:after="0"/>
    </w:pPr>
    <w:rPr/>
  </w:style>
  <w:style w:type="paragraph" w:styleId="Legenda1" w:customStyle="1">
    <w:name w:val="Legenda1"/>
    <w:basedOn w:val="Normal"/>
    <w:next w:val="Normal"/>
    <w:qFormat/>
    <w:rsid w:val="007e6868"/>
    <w:pPr>
      <w:suppressAutoHyphens w:val="true"/>
      <w:spacing w:lineRule="auto" w:line="240" w:before="0" w:after="0"/>
      <w:jc w:val="center"/>
    </w:pPr>
    <w:rPr>
      <w:rFonts w:ascii="Times New Roman" w:hAnsi="Times New Roman" w:eastAsia="Times New Roman" w:cs="Times New Roman"/>
      <w:sz w:val="54"/>
      <w:szCs w:val="20"/>
      <w:lang w:eastAsia="ar-SA"/>
    </w:rPr>
  </w:style>
  <w:style w:type="paragraph" w:styleId="BalloonText">
    <w:name w:val="Balloon Text"/>
    <w:basedOn w:val="Normal"/>
    <w:link w:val="TextodebaloChar"/>
    <w:uiPriority w:val="99"/>
    <w:semiHidden/>
    <w:unhideWhenUsed/>
    <w:qFormat/>
    <w:rsid w:val="007e6868"/>
    <w:pPr>
      <w:spacing w:lineRule="auto" w:line="240" w:before="0" w:after="0"/>
    </w:pPr>
    <w:rPr>
      <w:rFonts w:ascii="Tahoma" w:hAnsi="Tahoma" w:cs="Tahoma"/>
      <w:sz w:val="16"/>
      <w:szCs w:val="16"/>
    </w:rPr>
  </w:style>
  <w:style w:type="paragraph" w:styleId="ListParagraph">
    <w:name w:val="List Paragraph"/>
    <w:basedOn w:val="Normal"/>
    <w:uiPriority w:val="34"/>
    <w:qFormat/>
    <w:rsid w:val="001c14b4"/>
    <w:pPr>
      <w:spacing w:before="0" w:after="200"/>
      <w:ind w:left="720" w:hanging="0"/>
      <w:contextualSpacing/>
    </w:pPr>
    <w:rPr/>
  </w:style>
  <w:style w:type="paragraph" w:styleId="Western" w:customStyle="1">
    <w:name w:val="western"/>
    <w:basedOn w:val="Normal"/>
    <w:qFormat/>
    <w:rsid w:val="009235e1"/>
    <w:pPr>
      <w:spacing w:lineRule="auto" w:line="240" w:beforeAutospacing="1" w:after="119"/>
    </w:pPr>
    <w:rPr>
      <w:rFonts w:ascii="Times New Roman" w:hAnsi="Times New Roman" w:eastAsia="Times New Roman" w:cs="Times New Roman"/>
      <w:sz w:val="24"/>
      <w:szCs w:val="24"/>
      <w:lang w:eastAsia="pt-BR"/>
    </w:rPr>
  </w:style>
  <w:style w:type="paragraph" w:styleId="Annotationtext">
    <w:name w:val="annotation text"/>
    <w:basedOn w:val="Normal"/>
    <w:link w:val="TextodecomentrioChar"/>
    <w:uiPriority w:val="99"/>
    <w:semiHidden/>
    <w:unhideWhenUsed/>
    <w:qFormat/>
    <w:rsid w:val="00f51165"/>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f51165"/>
    <w:pPr/>
    <w:rPr>
      <w:b/>
      <w:bCs/>
    </w:rPr>
  </w:style>
  <w:style w:type="paragraph" w:styleId="Revision">
    <w:name w:val="Revision"/>
    <w:uiPriority w:val="99"/>
    <w:semiHidden/>
    <w:qFormat/>
    <w:rsid w:val="00f51165"/>
    <w:pPr>
      <w:widowControl/>
      <w:bidi w:val="0"/>
      <w:jc w:val="left"/>
    </w:pPr>
    <w:rPr>
      <w:rFonts w:ascii="Calibri" w:hAnsi="Calibri" w:eastAsia="Calibri" w:cs=""/>
      <w:color w:val="00000A"/>
      <w:kern w:val="0"/>
      <w:sz w:val="22"/>
      <w:szCs w:val="22"/>
      <w:lang w:val="pt-BR" w:eastAsia="en-US" w:bidi="ar-SA"/>
    </w:rPr>
  </w:style>
  <w:style w:type="paragraph" w:styleId="Standard" w:customStyle="1">
    <w:name w:val="Standard"/>
    <w:qFormat/>
    <w:rsid w:val="00934e46"/>
    <w:pPr>
      <w:widowControl/>
      <w:suppressAutoHyphens w:val="true"/>
      <w:bidi w:val="0"/>
      <w:jc w:val="left"/>
      <w:textAlignment w:val="baseline"/>
    </w:pPr>
    <w:rPr>
      <w:rFonts w:ascii="Ecofont_Spranq_eco_Sans" w:hAnsi="Ecofont_Spranq_eco_Sans" w:eastAsia="Times New Roman" w:cs="Tahoma"/>
      <w:color w:val="00000A"/>
      <w:kern w:val="2"/>
      <w:sz w:val="24"/>
      <w:szCs w:val="24"/>
      <w:lang w:val="pt-BR" w:eastAsia="pt-BR" w:bidi="ar-SA"/>
    </w:rPr>
  </w:style>
  <w:style w:type="paragraph" w:styleId="Quote">
    <w:name w:val="Quote"/>
    <w:basedOn w:val="Normal"/>
    <w:next w:val="Normal"/>
    <w:link w:val="CitaoChar"/>
    <w:qFormat/>
    <w:rsid w:val="00613100"/>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Ecofont_Spranq_eco_Sans" w:hAnsi="Ecofont_Spranq_eco_Sans" w:cs="Tahoma"/>
      <w:i/>
      <w:iCs/>
      <w:color w:val="000000"/>
      <w:sz w:val="20"/>
      <w:szCs w:val="24"/>
    </w:rPr>
  </w:style>
  <w:style w:type="paragraph" w:styleId="Nivel2" w:customStyle="1">
    <w:name w:val="Nivel 2"/>
    <w:link w:val="Nivel2Char"/>
    <w:qFormat/>
    <w:rsid w:val="00613100"/>
    <w:pPr>
      <w:widowControl/>
      <w:bidi w:val="0"/>
      <w:spacing w:before="120" w:after="120"/>
      <w:jc w:val="both"/>
    </w:pPr>
    <w:rPr>
      <w:rFonts w:ascii="Ecofont_Spranq_eco_Sans" w:hAnsi="Ecofont_Spranq_eco_Sans" w:eastAsia="Arial Unicode MS" w:cs="Times New Roman"/>
      <w:color w:val="00000A"/>
      <w:kern w:val="0"/>
      <w:sz w:val="22"/>
      <w:szCs w:val="20"/>
      <w:lang w:val="pt-BR" w:eastAsia="pt-BR" w:bidi="ar-SA"/>
    </w:rPr>
  </w:style>
  <w:style w:type="paragraph" w:styleId="Nivel1" w:customStyle="1">
    <w:name w:val="Nivel 1"/>
    <w:basedOn w:val="Nivel2"/>
    <w:link w:val="Nivel1Char"/>
    <w:qFormat/>
    <w:rsid w:val="00613100"/>
    <w:pPr>
      <w:tabs>
        <w:tab w:val="left" w:pos="360" w:leader="none"/>
      </w:tabs>
      <w:ind w:left="858" w:hanging="432"/>
    </w:pPr>
    <w:rPr>
      <w:rFonts w:cs="Arial"/>
      <w:b/>
    </w:rPr>
  </w:style>
  <w:style w:type="paragraph" w:styleId="Nivel5" w:customStyle="1">
    <w:name w:val="Nivel 5"/>
    <w:basedOn w:val="Normal"/>
    <w:link w:val="Nivel5Char"/>
    <w:qFormat/>
    <w:rsid w:val="00613100"/>
    <w:pPr>
      <w:spacing w:before="120" w:after="120"/>
      <w:ind w:left="1224" w:hanging="504"/>
      <w:jc w:val="both"/>
    </w:pPr>
    <w:rPr>
      <w:rFonts w:ascii="Ecofont_Spranq_eco_Sans" w:hAnsi="Ecofont_Spranq_eco_Sans" w:eastAsia="Arial Unicode MS" w:cs="Arial"/>
      <w:sz w:val="20"/>
      <w:szCs w:val="20"/>
      <w:lang w:eastAsia="pt-BR"/>
    </w:rPr>
  </w:style>
  <w:style w:type="paragraph" w:styleId="Contedodatabela" w:customStyle="1">
    <w:name w:val="Conteúdo da tabela"/>
    <w:basedOn w:val="Standard"/>
    <w:qFormat/>
    <w:rsid w:val="001533e9"/>
    <w:pPr>
      <w:widowControl w:val="false"/>
      <w:suppressLineNumbers/>
    </w:pPr>
    <w:rPr>
      <w:rFonts w:ascii="Times New Roman" w:hAnsi="Times New Roman" w:eastAsia="SimSun" w:cs="Mangal"/>
      <w:lang w:eastAsia="zh-CN" w:bidi="hi-IN"/>
    </w:rPr>
  </w:style>
  <w:style w:type="paragraph" w:styleId="ListBullet5">
    <w:name w:val="List Bullet 5"/>
    <w:basedOn w:val="Standard"/>
    <w:qFormat/>
    <w:rsid w:val="0073246c"/>
    <w:pPr/>
    <w:rPr/>
  </w:style>
  <w:style w:type="paragraph" w:styleId="Default" w:customStyle="1">
    <w:name w:val="Default"/>
    <w:qFormat/>
    <w:rsid w:val="008e735e"/>
    <w:pPr>
      <w:widowControl/>
      <w:bidi w:val="0"/>
      <w:jc w:val="left"/>
    </w:pPr>
    <w:rPr>
      <w:rFonts w:ascii="Calibri" w:hAnsi="Calibri" w:eastAsia="Calibri" w:cs="Calibri"/>
      <w:color w:val="000000"/>
      <w:kern w:val="0"/>
      <w:sz w:val="24"/>
      <w:szCs w:val="24"/>
      <w:lang w:val="pt-BR" w:eastAsia="en-US" w:bidi="ar-SA"/>
    </w:rPr>
  </w:style>
  <w:style w:type="paragraph" w:styleId="Corpodetextorecuado">
    <w:name w:val="Body Text Indent"/>
    <w:basedOn w:val="Normal"/>
    <w:link w:val="RecuodecorpodetextoChar"/>
    <w:uiPriority w:val="99"/>
    <w:unhideWhenUsed/>
    <w:rsid w:val="00a923a2"/>
    <w:pPr>
      <w:spacing w:lineRule="auto" w:line="360" w:beforeAutospacing="1" w:afterAutospacing="1"/>
      <w:ind w:left="567" w:hanging="0"/>
      <w:jc w:val="both"/>
    </w:pPr>
    <w:rPr>
      <w:rFonts w:eastAsia="Times New Roman" w:cs="Calibri" w:cstheme="minorHAnsi"/>
      <w:lang w:eastAsia="pt-BR"/>
    </w:rPr>
  </w:style>
  <w:style w:type="paragraph" w:styleId="BodyText2">
    <w:name w:val="Body Text 2"/>
    <w:basedOn w:val="Normal"/>
    <w:link w:val="Corpodetexto2Char"/>
    <w:uiPriority w:val="99"/>
    <w:unhideWhenUsed/>
    <w:qFormat/>
    <w:rsid w:val="007268ed"/>
    <w:pPr>
      <w:spacing w:lineRule="auto" w:line="360" w:beforeAutospacing="1" w:afterAutospacing="1"/>
      <w:jc w:val="both"/>
    </w:pPr>
    <w:rPr>
      <w:rFonts w:eastAsia="Times New Roman" w:cs="Calibri" w:cstheme="minorHAnsi"/>
      <w:lang w:eastAsia="pt-BR"/>
    </w:rPr>
  </w:style>
  <w:style w:type="paragraph" w:styleId="Nivel3" w:customStyle="1">
    <w:name w:val="Nivel 3"/>
    <w:basedOn w:val="Nivel2"/>
    <w:link w:val="Nivel3Char"/>
    <w:qFormat/>
    <w:rsid w:val="00c35ada"/>
    <w:pPr>
      <w:ind w:left="1224" w:hanging="504"/>
    </w:pPr>
    <w:rPr>
      <w:rFonts w:cs="Arial"/>
      <w:color w:val="000000"/>
    </w:rPr>
  </w:style>
  <w:style w:type="paragraph" w:styleId="Nivel4" w:customStyle="1">
    <w:name w:val="Nivel 4"/>
    <w:basedOn w:val="Nivel3"/>
    <w:link w:val="Nivel4Char"/>
    <w:qFormat/>
    <w:rsid w:val="00c35ada"/>
    <w:pPr>
      <w:ind w:left="0" w:hanging="0"/>
    </w:pPr>
    <w:rPr>
      <w:color w:val="00000A"/>
    </w:rPr>
  </w:style>
  <w:style w:type="paragraph" w:styleId="Nivel11" w:customStyle="1">
    <w:name w:val="Nivel1"/>
    <w:basedOn w:val="Ttulo1"/>
    <w:next w:val="Normal"/>
    <w:qFormat/>
    <w:rsid w:val="00123df2"/>
    <w:pPr>
      <w:numPr>
        <w:ilvl w:val="0"/>
        <w:numId w:val="0"/>
      </w:numPr>
      <w:spacing w:before="480" w:after="120"/>
      <w:ind w:left="357" w:hanging="357"/>
      <w:jc w:val="both"/>
    </w:pPr>
    <w:rPr>
      <w:rFonts w:ascii="Arial" w:hAnsi="Arial" w:cs="Arial"/>
      <w:bCs w:val="false"/>
      <w:sz w:val="20"/>
      <w:szCs w:val="20"/>
      <w:lang w:eastAsia="pt-BR"/>
    </w:rPr>
  </w:style>
  <w:style w:type="paragraph" w:styleId="Ttulodetabela" w:customStyle="1">
    <w:name w:val="Título de tabela"/>
    <w:basedOn w:val="Contedodatabela"/>
    <w:qFormat/>
    <w:pPr/>
    <w:rPr/>
  </w:style>
  <w:style w:type="numbering" w:styleId="NoList" w:default="1">
    <w:name w:val="No List"/>
    <w:uiPriority w:val="99"/>
    <w:semiHidden/>
    <w:unhideWhenUsed/>
    <w:qFormat/>
  </w:style>
  <w:style w:type="numbering" w:styleId="Estilo1" w:customStyle="1">
    <w:name w:val="Estilo1"/>
    <w:uiPriority w:val="99"/>
    <w:qFormat/>
    <w:rsid w:val="00b679a5"/>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javascript:LinkTexto(&apos;LEI&apos;,&apos;00010831&apos;,&apos;000&apos;,&apos;2003&apos;,&apos;NI&apos;,&apos;&apos;,&apos;&apos;,&apos;&apos;)" TargetMode="External"/><Relationship Id="rId3" Type="http://schemas.openxmlformats.org/officeDocument/2006/relationships/hyperlink" Target="http://www.iffarroupilha.edu.br/panambi" TargetMode="External"/><Relationship Id="rId4" Type="http://schemas.openxmlformats.org/officeDocument/2006/relationships/hyperlink" Target="mailto:licitacao.pb@iffarroupilha.edu.br" TargetMode="External"/><Relationship Id="rId5" Type="http://schemas.openxmlformats.org/officeDocument/2006/relationships/hyperlink" Target="http://www.iffarroupilha.edu.br/panambi" TargetMode="External"/><Relationship Id="rId6" Type="http://schemas.openxmlformats.org/officeDocument/2006/relationships/hyperlink" Target="javascript:LinkTexto(&apos;LEI&apos;,&apos;00011947&apos;,&apos;000&apos;,&apos;2009&apos;,&apos;NI&apos;,&apos;&apos;,&apos;&apos;,&apos;&apos;)"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licitacao.pb@iffarroupilha.edu.b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D7947-48F8-455F-AAEB-4DA0AAD09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Application>LibreOffice/5.4.0.3$Windows_x86 LibreOffice_project/7556cbc6811c9d992f4064ab9287069087d7f62c</Application>
  <Pages>68</Pages>
  <Words>13817</Words>
  <Characters>80371</Characters>
  <CharactersWithSpaces>93950</CharactersWithSpaces>
  <Paragraphs>1527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2018-03-12T18:52:00Z</dcterms:created>
  <dc:creator>Alcides</dc:creator>
  <dc:description/>
  <dc:language>pt-BR</dc:language>
  <cp:lastModifiedBy/>
  <cp:lastPrinted>2019-05-10T10:25:11Z</cp:lastPrinted>
  <dcterms:modified xsi:type="dcterms:W3CDTF">2019-07-29T16:56:19Z</dcterms:modified>
  <cp:revision>53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