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1DA" w:rsidRDefault="00F607B0">
      <w:pPr>
        <w:jc w:val="center"/>
        <w:rPr>
          <w:rFonts w:ascii="Arial" w:hAnsi="Arial" w:cs="Arial"/>
          <w:b/>
          <w:bCs/>
          <w:iCs/>
          <w:color w:val="000000"/>
        </w:rPr>
      </w:pPr>
      <w:r>
        <w:rPr>
          <w:rFonts w:ascii="Arial" w:hAnsi="Arial" w:cs="Arial"/>
          <w:b/>
          <w:bCs/>
          <w:iCs/>
          <w:color w:val="000000"/>
        </w:rPr>
        <w:t>ATA DE REGISTRO DE PREÇOS</w:t>
      </w:r>
    </w:p>
    <w:p w:rsidR="006531DA" w:rsidRDefault="00F607B0">
      <w:pPr>
        <w:ind w:right="-15"/>
        <w:jc w:val="center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INSTITUTO FEDERAL DE EDUCAÇÃO, CIÊNCIA E TECNOLOGIA FARROUPILHA-CAMPUS JÚLIO DE </w:t>
      </w:r>
      <w:proofErr w:type="gramStart"/>
      <w:r>
        <w:rPr>
          <w:rFonts w:ascii="Arial" w:hAnsi="Arial" w:cs="Arial"/>
          <w:i/>
          <w:color w:val="000000"/>
        </w:rPr>
        <w:t>CASTILHOS</w:t>
      </w:r>
      <w:proofErr w:type="gramEnd"/>
    </w:p>
    <w:p w:rsidR="006531DA" w:rsidRDefault="00F607B0">
      <w:pPr>
        <w:ind w:right="-30"/>
        <w:jc w:val="center"/>
        <w:rPr>
          <w:rFonts w:ascii="Arial" w:hAnsi="Arial" w:cs="Arial"/>
        </w:rPr>
      </w:pPr>
      <w:r>
        <w:rPr>
          <w:rFonts w:ascii="Arial" w:hAnsi="Arial" w:cs="Arial"/>
        </w:rPr>
        <w:t>ATA DE REGISTRO DE PREÇOS</w:t>
      </w:r>
    </w:p>
    <w:p w:rsidR="006531DA" w:rsidRDefault="00F607B0">
      <w:pPr>
        <w:ind w:right="-30"/>
        <w:jc w:val="center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N.º ...</w:t>
      </w:r>
      <w:proofErr w:type="gramEnd"/>
      <w:r>
        <w:rPr>
          <w:rFonts w:ascii="Arial" w:hAnsi="Arial" w:cs="Arial"/>
          <w:bCs/>
        </w:rPr>
        <w:t>......</w:t>
      </w:r>
    </w:p>
    <w:p w:rsidR="006531DA" w:rsidRDefault="006531DA">
      <w:pPr>
        <w:ind w:right="-30"/>
        <w:jc w:val="both"/>
        <w:rPr>
          <w:rFonts w:ascii="Arial" w:hAnsi="Arial" w:cs="Arial"/>
        </w:rPr>
      </w:pPr>
    </w:p>
    <w:p w:rsidR="006531DA" w:rsidRDefault="00F607B0">
      <w:pPr>
        <w:tabs>
          <w:tab w:val="center" w:pos="4779"/>
          <w:tab w:val="right" w:pos="9198"/>
        </w:tabs>
        <w:ind w:right="-2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O(</w:t>
      </w:r>
      <w:proofErr w:type="gramEnd"/>
      <w:r>
        <w:rPr>
          <w:rFonts w:ascii="Arial" w:hAnsi="Arial" w:cs="Arial"/>
        </w:rPr>
        <w:t>A)......(</w:t>
      </w:r>
      <w:r>
        <w:rPr>
          <w:rFonts w:ascii="Arial" w:hAnsi="Arial" w:cs="Arial"/>
          <w:i/>
          <w:iCs/>
          <w:color w:val="FF0000"/>
        </w:rPr>
        <w:t>órgão ou entidade pública que gerenciará a ata de registro de preços</w:t>
      </w:r>
      <w:r>
        <w:rPr>
          <w:rFonts w:ascii="Arial" w:hAnsi="Arial" w:cs="Arial"/>
        </w:rPr>
        <w:t xml:space="preserve">), com sede no(a) </w:t>
      </w:r>
      <w:r>
        <w:rPr>
          <w:rFonts w:ascii="Arial" w:hAnsi="Arial" w:cs="Arial"/>
        </w:rPr>
        <w:t>......, na cidade de ........, inscrito(a) no CNPJ/MF sob o nº ....., neste ato representado(a) pelo(a) ...... (</w:t>
      </w:r>
      <w:r>
        <w:rPr>
          <w:rFonts w:ascii="Arial" w:hAnsi="Arial" w:cs="Arial"/>
          <w:i/>
          <w:iCs/>
        </w:rPr>
        <w:t>cargo e nome</w:t>
      </w:r>
      <w:r>
        <w:rPr>
          <w:rFonts w:ascii="Arial" w:hAnsi="Arial" w:cs="Arial"/>
        </w:rPr>
        <w:t xml:space="preserve">), </w:t>
      </w:r>
      <w:proofErr w:type="gramStart"/>
      <w:r>
        <w:rPr>
          <w:rFonts w:ascii="Arial" w:hAnsi="Arial" w:cs="Arial"/>
        </w:rPr>
        <w:t>nomeado(</w:t>
      </w:r>
      <w:proofErr w:type="gramEnd"/>
      <w:r>
        <w:rPr>
          <w:rFonts w:ascii="Arial" w:hAnsi="Arial" w:cs="Arial"/>
        </w:rPr>
        <w:t xml:space="preserve">a) pela  Portaria nº ......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.....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......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200..., publicada no .......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.....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.......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....., inscrito(a) </w:t>
      </w:r>
      <w:r>
        <w:rPr>
          <w:rFonts w:ascii="Arial" w:hAnsi="Arial" w:cs="Arial"/>
        </w:rPr>
        <w:t xml:space="preserve">no CPF sob o nº .............portador(a) da Carteira de Identidade nº ......., considerando o julgamento </w:t>
      </w:r>
      <w:proofErr w:type="gramStart"/>
      <w:r>
        <w:rPr>
          <w:rFonts w:ascii="Arial" w:hAnsi="Arial" w:cs="Arial"/>
        </w:rPr>
        <w:t>da</w:t>
      </w:r>
      <w:proofErr w:type="gramEnd"/>
      <w:r>
        <w:rPr>
          <w:rFonts w:ascii="Arial" w:hAnsi="Arial" w:cs="Arial"/>
        </w:rPr>
        <w:t xml:space="preserve"> licitação na modalidade de pregão, na forma </w:t>
      </w:r>
      <w:r>
        <w:rPr>
          <w:rFonts w:ascii="Arial" w:hAnsi="Arial" w:cs="Arial"/>
          <w:iCs/>
        </w:rPr>
        <w:t>eletrônica</w:t>
      </w:r>
      <w:r>
        <w:rPr>
          <w:rFonts w:ascii="Arial" w:hAnsi="Arial" w:cs="Arial"/>
        </w:rPr>
        <w:t xml:space="preserve">, para REGISTRO DE PREÇOS nº ......./200..., publicada no ...... </w:t>
      </w:r>
      <w:proofErr w:type="gramStart"/>
      <w:r>
        <w:rPr>
          <w:rFonts w:ascii="Arial" w:hAnsi="Arial" w:cs="Arial"/>
        </w:rPr>
        <w:t>de</w:t>
      </w:r>
      <w:proofErr w:type="gramEnd"/>
      <w:r>
        <w:rPr>
          <w:rFonts w:ascii="Arial" w:hAnsi="Arial" w:cs="Arial"/>
        </w:rPr>
        <w:t xml:space="preserve"> ...../...../200....., proc</w:t>
      </w:r>
      <w:r>
        <w:rPr>
          <w:rFonts w:ascii="Arial" w:hAnsi="Arial" w:cs="Arial"/>
        </w:rPr>
        <w:t>esso administrativo n.º ........, RESOLVE registrar os preços da(s)  empresa(s) indicada(s) e qualificada(s) nesta ATA, de acordo com a classificação por ela(s) alcançada(s) e na(s)  quantidade(s)  cotada(s), atendendo as condições previstas no edital, suj</w:t>
      </w:r>
      <w:r>
        <w:rPr>
          <w:rFonts w:ascii="Arial" w:hAnsi="Arial" w:cs="Arial"/>
        </w:rPr>
        <w:t xml:space="preserve">eitando-se as partes às normas constantes na Lei nº 8.666, de 21 de junho de 1993 e suas alterações, no </w:t>
      </w:r>
      <w:r>
        <w:rPr>
          <w:rFonts w:ascii="Arial" w:hAnsi="Arial" w:cs="Arial"/>
          <w:iCs/>
        </w:rPr>
        <w:t>Decreto n.º 7.892, de 23 de janeiro de 2013,</w:t>
      </w:r>
      <w:r>
        <w:rPr>
          <w:rFonts w:ascii="Arial" w:hAnsi="Arial" w:cs="Arial"/>
        </w:rPr>
        <w:t xml:space="preserve"> e em conformidade com as disposições a seguir:</w:t>
      </w:r>
    </w:p>
    <w:p w:rsidR="006531DA" w:rsidRDefault="006531DA">
      <w:pPr>
        <w:tabs>
          <w:tab w:val="center" w:pos="4779"/>
          <w:tab w:val="right" w:pos="9198"/>
        </w:tabs>
        <w:ind w:right="-28"/>
        <w:jc w:val="both"/>
        <w:rPr>
          <w:rFonts w:ascii="Arial" w:hAnsi="Arial" w:cs="Arial"/>
        </w:rPr>
      </w:pPr>
    </w:p>
    <w:p w:rsidR="006531DA" w:rsidRDefault="00F607B0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 OBJETO</w:t>
      </w:r>
    </w:p>
    <w:p w:rsidR="006531DA" w:rsidRDefault="00F607B0">
      <w:pPr>
        <w:numPr>
          <w:ilvl w:val="1"/>
          <w:numId w:val="2"/>
        </w:num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Aquisição de materiais de laboratório para ativid</w:t>
      </w:r>
      <w:r>
        <w:rPr>
          <w:rFonts w:ascii="Arial" w:hAnsi="Arial" w:cs="Arial"/>
        </w:rPr>
        <w:t xml:space="preserve">ades de ensino, pesquisa e extensão do IFFAR, conforme condições, quantidades, exigências e estimativas, inclusive as encaminhadas pelos órgãos e entidades participantes, estabelecidas no Termo de Referência, anexo I, do edital de </w:t>
      </w:r>
      <w:r>
        <w:rPr>
          <w:rFonts w:ascii="Arial" w:hAnsi="Arial" w:cs="Arial"/>
        </w:rPr>
        <w:t>Pregão nº 08/2018</w:t>
      </w:r>
      <w:r>
        <w:rPr>
          <w:rFonts w:ascii="Arial" w:hAnsi="Arial" w:cs="Arial"/>
        </w:rPr>
        <w:t xml:space="preserve">, que é </w:t>
      </w:r>
      <w:r>
        <w:rPr>
          <w:rFonts w:ascii="Arial" w:hAnsi="Arial" w:cs="Arial"/>
        </w:rPr>
        <w:t>parte integrante desta Ata, assim como a proposta vencedora, independentemente de transcrição.</w:t>
      </w:r>
    </w:p>
    <w:p w:rsidR="006531DA" w:rsidRDefault="006531DA">
      <w:pPr>
        <w:ind w:left="792"/>
        <w:jc w:val="both"/>
        <w:rPr>
          <w:rFonts w:ascii="Arial" w:hAnsi="Arial" w:cs="Arial"/>
        </w:rPr>
      </w:pPr>
    </w:p>
    <w:p w:rsidR="006531DA" w:rsidRDefault="00F607B0">
      <w:pPr>
        <w:numPr>
          <w:ilvl w:val="0"/>
          <w:numId w:val="2"/>
        </w:numPr>
        <w:spacing w:before="120"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DOS PREÇOS, ESPECIFICAÇÕES E </w:t>
      </w:r>
      <w:proofErr w:type="gramStart"/>
      <w:r>
        <w:rPr>
          <w:rFonts w:ascii="Arial" w:hAnsi="Arial" w:cs="Arial"/>
          <w:b/>
          <w:bCs/>
        </w:rPr>
        <w:t>QUANTITATIVOS</w:t>
      </w:r>
      <w:proofErr w:type="gramEnd"/>
    </w:p>
    <w:p w:rsidR="006531DA" w:rsidRDefault="00F607B0">
      <w:pPr>
        <w:numPr>
          <w:ilvl w:val="1"/>
          <w:numId w:val="2"/>
        </w:numPr>
        <w:spacing w:before="120" w:after="12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preço registrado, as especificações do objeto, a quantidade, </w:t>
      </w:r>
      <w:proofErr w:type="gramStart"/>
      <w:r>
        <w:rPr>
          <w:rFonts w:ascii="Arial" w:hAnsi="Arial" w:cs="Arial"/>
        </w:rPr>
        <w:t>fornecedor(</w:t>
      </w:r>
      <w:proofErr w:type="gramEnd"/>
      <w:r>
        <w:rPr>
          <w:rFonts w:ascii="Arial" w:hAnsi="Arial" w:cs="Arial"/>
        </w:rPr>
        <w:t>es) e as demais condições ofertadas na(s) p</w:t>
      </w:r>
      <w:r>
        <w:rPr>
          <w:rFonts w:ascii="Arial" w:hAnsi="Arial" w:cs="Arial"/>
        </w:rPr>
        <w:t>roposta(s) são as que seguem:</w:t>
      </w:r>
    </w:p>
    <w:tbl>
      <w:tblPr>
        <w:tblW w:w="0" w:type="auto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7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468"/>
        <w:gridCol w:w="1899"/>
        <w:gridCol w:w="37"/>
        <w:gridCol w:w="1674"/>
        <w:gridCol w:w="37"/>
        <w:gridCol w:w="1206"/>
        <w:gridCol w:w="37"/>
        <w:gridCol w:w="1206"/>
        <w:gridCol w:w="37"/>
        <w:gridCol w:w="787"/>
      </w:tblGrid>
      <w:tr w:rsidR="006531DA" w:rsidTr="00F607B0">
        <w:trPr>
          <w:trHeight w:val="511"/>
        </w:trPr>
        <w:tc>
          <w:tcPr>
            <w:tcW w:w="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" w:type="dxa"/>
            </w:tcMar>
            <w:vAlign w:val="center"/>
          </w:tcPr>
          <w:p w:rsidR="006531DA" w:rsidRDefault="00F607B0">
            <w:pPr>
              <w:ind w:right="-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Item</w:t>
            </w:r>
          </w:p>
          <w:p w:rsidR="006531DA" w:rsidRDefault="00F607B0">
            <w:pPr>
              <w:ind w:right="-30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do</w:t>
            </w:r>
            <w:proofErr w:type="gramEnd"/>
          </w:p>
          <w:p w:rsidR="006531DA" w:rsidRDefault="00F607B0">
            <w:pPr>
              <w:ind w:right="-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</w:t>
            </w:r>
          </w:p>
        </w:tc>
        <w:tc>
          <w:tcPr>
            <w:tcW w:w="336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7" w:type="dxa"/>
            </w:tcMar>
            <w:vAlign w:val="center"/>
          </w:tcPr>
          <w:p w:rsidR="006531DA" w:rsidRDefault="00F607B0">
            <w:pPr>
              <w:ind w:right="-30"/>
              <w:jc w:val="center"/>
              <w:rPr>
                <w:rFonts w:ascii="Arial" w:hAnsi="Arial" w:cs="Arial"/>
                <w:i/>
                <w:color w:val="FF0000"/>
              </w:rPr>
            </w:pPr>
            <w:r>
              <w:rPr>
                <w:rFonts w:ascii="Arial" w:hAnsi="Arial" w:cs="Arial"/>
              </w:rPr>
              <w:t xml:space="preserve">Fornecedor </w:t>
            </w:r>
            <w:r>
              <w:rPr>
                <w:rFonts w:ascii="Arial" w:hAnsi="Arial" w:cs="Arial"/>
                <w:i/>
                <w:color w:val="FF0000"/>
              </w:rPr>
              <w:t>(razão social, CNPJ/MF, endereço, contatos, representante</w:t>
            </w:r>
            <w:proofErr w:type="gramStart"/>
            <w:r>
              <w:rPr>
                <w:rFonts w:ascii="Arial" w:hAnsi="Arial" w:cs="Arial"/>
                <w:i/>
                <w:color w:val="FF0000"/>
              </w:rPr>
              <w:t>)</w:t>
            </w:r>
            <w:proofErr w:type="gramEnd"/>
          </w:p>
          <w:p w:rsidR="006531DA" w:rsidRDefault="006531DA">
            <w:pPr>
              <w:ind w:right="-30"/>
              <w:jc w:val="center"/>
              <w:rPr>
                <w:rFonts w:ascii="Arial" w:hAnsi="Arial" w:cs="Arial"/>
              </w:rPr>
            </w:pPr>
          </w:p>
        </w:tc>
        <w:tc>
          <w:tcPr>
            <w:tcW w:w="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1DA" w:rsidRDefault="006531DA">
            <w:pPr>
              <w:ind w:right="-30"/>
              <w:jc w:val="center"/>
              <w:rPr>
                <w:rFonts w:ascii="Arial" w:hAnsi="Arial" w:cs="Arial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1DA" w:rsidRDefault="006531DA">
            <w:pPr>
              <w:ind w:right="-30"/>
              <w:jc w:val="center"/>
              <w:rPr>
                <w:rFonts w:ascii="Arial" w:hAnsi="Arial" w:cs="Arial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1DA" w:rsidRDefault="006531DA">
            <w:pPr>
              <w:ind w:right="-30"/>
              <w:jc w:val="center"/>
              <w:rPr>
                <w:rFonts w:ascii="Arial" w:hAnsi="Arial" w:cs="Arial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1DA" w:rsidRDefault="006531DA">
            <w:pPr>
              <w:ind w:right="-30"/>
              <w:jc w:val="center"/>
              <w:rPr>
                <w:rFonts w:ascii="Arial" w:hAnsi="Arial" w:cs="Arial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31DA" w:rsidRDefault="006531DA">
            <w:pPr>
              <w:ind w:right="-30"/>
              <w:jc w:val="center"/>
              <w:rPr>
                <w:rFonts w:ascii="Arial" w:hAnsi="Arial" w:cs="Arial"/>
              </w:rPr>
            </w:pPr>
          </w:p>
        </w:tc>
      </w:tr>
      <w:tr w:rsidR="006531DA" w:rsidTr="00F607B0">
        <w:trPr>
          <w:trHeight w:val="674"/>
        </w:trPr>
        <w:tc>
          <w:tcPr>
            <w:tcW w:w="55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auto"/>
            <w:tcMar>
              <w:left w:w="7" w:type="dxa"/>
            </w:tcMar>
            <w:vAlign w:val="center"/>
          </w:tcPr>
          <w:p w:rsidR="006531DA" w:rsidRDefault="00F607B0">
            <w:pPr>
              <w:ind w:right="-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auto"/>
            <w:tcMar>
              <w:left w:w="7" w:type="dxa"/>
            </w:tcMar>
          </w:tcPr>
          <w:p w:rsidR="006531DA" w:rsidRDefault="00F607B0">
            <w:pPr>
              <w:ind w:right="-3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Especificação</w:t>
            </w: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auto"/>
            <w:tcMar>
              <w:left w:w="7" w:type="dxa"/>
            </w:tcMar>
          </w:tcPr>
          <w:p w:rsidR="006531DA" w:rsidRDefault="00F607B0">
            <w:pPr>
              <w:ind w:right="-30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Marca</w:t>
            </w:r>
          </w:p>
          <w:p w:rsidR="006531DA" w:rsidRDefault="00F607B0">
            <w:pPr>
              <w:ind w:right="-30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(se exigida no edital)</w:t>
            </w:r>
          </w:p>
        </w:tc>
        <w:tc>
          <w:tcPr>
            <w:tcW w:w="1711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auto"/>
            <w:tcMar>
              <w:left w:w="7" w:type="dxa"/>
            </w:tcMar>
          </w:tcPr>
          <w:p w:rsidR="006531DA" w:rsidRDefault="00F607B0">
            <w:pPr>
              <w:ind w:right="-30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Modelo</w:t>
            </w:r>
          </w:p>
          <w:p w:rsidR="006531DA" w:rsidRDefault="00F607B0">
            <w:pPr>
              <w:ind w:right="-30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(se exigido no edital)</w:t>
            </w:r>
          </w:p>
        </w:tc>
        <w:tc>
          <w:tcPr>
            <w:tcW w:w="1243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auto"/>
            <w:tcMar>
              <w:left w:w="7" w:type="dxa"/>
            </w:tcMar>
          </w:tcPr>
          <w:p w:rsidR="006531DA" w:rsidRDefault="00F607B0">
            <w:pPr>
              <w:ind w:right="-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</w:t>
            </w:r>
          </w:p>
        </w:tc>
        <w:tc>
          <w:tcPr>
            <w:tcW w:w="1243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auto"/>
            <w:tcMar>
              <w:left w:w="7" w:type="dxa"/>
            </w:tcMar>
          </w:tcPr>
          <w:p w:rsidR="006531DA" w:rsidRDefault="00F607B0">
            <w:pPr>
              <w:ind w:right="-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Quantidade</w:t>
            </w:r>
          </w:p>
        </w:tc>
        <w:tc>
          <w:tcPr>
            <w:tcW w:w="82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auto"/>
            <w:tcMar>
              <w:left w:w="7" w:type="dxa"/>
            </w:tcMar>
          </w:tcPr>
          <w:p w:rsidR="006531DA" w:rsidRDefault="00F607B0">
            <w:pPr>
              <w:ind w:right="-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Valor </w:t>
            </w:r>
            <w:proofErr w:type="spellStart"/>
            <w:r>
              <w:rPr>
                <w:rFonts w:ascii="Arial" w:hAnsi="Arial" w:cs="Arial"/>
              </w:rPr>
              <w:t>Un</w:t>
            </w:r>
            <w:proofErr w:type="spellEnd"/>
          </w:p>
        </w:tc>
        <w:bookmarkStart w:id="0" w:name="_GoBack"/>
        <w:bookmarkEnd w:id="0"/>
      </w:tr>
      <w:tr w:rsidR="006531DA" w:rsidTr="00F607B0">
        <w:trPr>
          <w:trHeight w:val="174"/>
        </w:trPr>
        <w:tc>
          <w:tcPr>
            <w:tcW w:w="55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auto"/>
            <w:tcMar>
              <w:left w:w="7" w:type="dxa"/>
            </w:tcMar>
          </w:tcPr>
          <w:p w:rsidR="006531DA" w:rsidRDefault="006531DA">
            <w:pPr>
              <w:ind w:right="-30"/>
              <w:jc w:val="both"/>
              <w:rPr>
                <w:rFonts w:ascii="Arial" w:hAnsi="Arial" w:cs="Arial"/>
              </w:rPr>
            </w:pPr>
          </w:p>
        </w:tc>
        <w:tc>
          <w:tcPr>
            <w:tcW w:w="1468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auto"/>
            <w:tcMar>
              <w:left w:w="7" w:type="dxa"/>
            </w:tcMar>
          </w:tcPr>
          <w:p w:rsidR="006531DA" w:rsidRDefault="006531DA">
            <w:pPr>
              <w:ind w:right="-30"/>
              <w:jc w:val="both"/>
              <w:rPr>
                <w:rFonts w:ascii="Arial" w:hAnsi="Arial" w:cs="Arial"/>
              </w:rPr>
            </w:pPr>
          </w:p>
        </w:tc>
        <w:tc>
          <w:tcPr>
            <w:tcW w:w="189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auto"/>
            <w:tcMar>
              <w:left w:w="7" w:type="dxa"/>
            </w:tcMar>
          </w:tcPr>
          <w:p w:rsidR="006531DA" w:rsidRDefault="006531DA">
            <w:pPr>
              <w:ind w:right="-30"/>
              <w:jc w:val="both"/>
              <w:rPr>
                <w:rFonts w:ascii="Arial" w:hAnsi="Arial" w:cs="Arial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auto"/>
            <w:tcMar>
              <w:left w:w="7" w:type="dxa"/>
            </w:tcMar>
          </w:tcPr>
          <w:p w:rsidR="006531DA" w:rsidRDefault="006531DA">
            <w:pPr>
              <w:ind w:right="-30"/>
              <w:jc w:val="both"/>
              <w:rPr>
                <w:rFonts w:ascii="Arial" w:hAnsi="Arial" w:cs="Arial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auto"/>
            <w:tcMar>
              <w:left w:w="7" w:type="dxa"/>
            </w:tcMar>
          </w:tcPr>
          <w:p w:rsidR="006531DA" w:rsidRDefault="006531DA">
            <w:pPr>
              <w:ind w:right="-30"/>
              <w:jc w:val="both"/>
              <w:rPr>
                <w:rFonts w:ascii="Arial" w:hAnsi="Arial" w:cs="Arial"/>
              </w:rPr>
            </w:pPr>
          </w:p>
        </w:tc>
        <w:tc>
          <w:tcPr>
            <w:tcW w:w="1243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auto"/>
            <w:tcMar>
              <w:left w:w="7" w:type="dxa"/>
            </w:tcMar>
          </w:tcPr>
          <w:p w:rsidR="006531DA" w:rsidRDefault="006531DA">
            <w:pPr>
              <w:ind w:right="-30"/>
              <w:jc w:val="both"/>
              <w:rPr>
                <w:rFonts w:ascii="Arial" w:hAnsi="Arial" w:cs="Arial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auto"/>
            <w:tcMar>
              <w:left w:w="7" w:type="dxa"/>
            </w:tcMar>
          </w:tcPr>
          <w:p w:rsidR="006531DA" w:rsidRDefault="006531DA">
            <w:pPr>
              <w:ind w:right="-30"/>
              <w:jc w:val="both"/>
              <w:rPr>
                <w:rFonts w:ascii="Arial" w:hAnsi="Arial" w:cs="Arial"/>
              </w:rPr>
            </w:pPr>
          </w:p>
        </w:tc>
      </w:tr>
    </w:tbl>
    <w:p w:rsidR="006531DA" w:rsidRDefault="006531DA">
      <w:pPr>
        <w:ind w:right="-30"/>
        <w:jc w:val="both"/>
        <w:rPr>
          <w:rFonts w:ascii="Arial" w:hAnsi="Arial" w:cs="Arial"/>
          <w:i/>
          <w:iCs/>
        </w:rPr>
      </w:pPr>
    </w:p>
    <w:p w:rsidR="006531DA" w:rsidRDefault="006531DA">
      <w:pPr>
        <w:pStyle w:val="GradeColorida-nfase11"/>
        <w:rPr>
          <w:rFonts w:ascii="Arial" w:hAnsi="Arial"/>
          <w:sz w:val="24"/>
        </w:rPr>
      </w:pPr>
    </w:p>
    <w:p w:rsidR="006531DA" w:rsidRDefault="006531DA">
      <w:pPr>
        <w:rPr>
          <w:rFonts w:ascii="Arial" w:hAnsi="Arial" w:cs="Arial"/>
          <w:lang w:eastAsia="en-US"/>
        </w:rPr>
      </w:pPr>
    </w:p>
    <w:p w:rsidR="006531DA" w:rsidRDefault="00F607B0">
      <w:pPr>
        <w:numPr>
          <w:ilvl w:val="0"/>
          <w:numId w:val="2"/>
        </w:numPr>
        <w:spacing w:before="240" w:after="0"/>
        <w:jc w:val="both"/>
        <w:rPr>
          <w:rFonts w:ascii="Arial" w:hAnsi="Arial" w:cs="Arial"/>
          <w:b/>
          <w:bCs/>
          <w:i/>
          <w:iCs/>
          <w:color w:val="FF0000"/>
        </w:rPr>
      </w:pPr>
      <w:r>
        <w:rPr>
          <w:rFonts w:ascii="Arial" w:hAnsi="Arial" w:cs="Arial"/>
          <w:b/>
          <w:bCs/>
          <w:i/>
          <w:iCs/>
          <w:color w:val="FF0000"/>
        </w:rPr>
        <w:t xml:space="preserve">ÓRGÃO(S) </w:t>
      </w:r>
      <w:r>
        <w:rPr>
          <w:rFonts w:ascii="Arial" w:hAnsi="Arial" w:cs="Arial"/>
          <w:b/>
          <w:bCs/>
          <w:i/>
          <w:iCs/>
          <w:color w:val="FF0000"/>
        </w:rPr>
        <w:t>PARTICIPANTE(S)</w:t>
      </w:r>
    </w:p>
    <w:p w:rsidR="006531DA" w:rsidRDefault="00F607B0">
      <w:pPr>
        <w:numPr>
          <w:ilvl w:val="1"/>
          <w:numId w:val="2"/>
        </w:numPr>
        <w:spacing w:before="120" w:after="120"/>
        <w:ind w:left="425"/>
        <w:jc w:val="both"/>
        <w:rPr>
          <w:rFonts w:ascii="Arial" w:hAnsi="Arial" w:cs="Arial"/>
          <w:i/>
          <w:iCs/>
          <w:color w:val="FF0000"/>
        </w:rPr>
      </w:pPr>
      <w:r>
        <w:rPr>
          <w:rFonts w:ascii="Arial" w:hAnsi="Arial" w:cs="Arial"/>
          <w:i/>
          <w:iCs/>
          <w:color w:val="FF0000"/>
        </w:rPr>
        <w:t>São órgãos e entidades públicas participantes do registro de preços:</w:t>
      </w:r>
    </w:p>
    <w:p w:rsidR="006531DA" w:rsidRDefault="00F607B0">
      <w:pPr>
        <w:tabs>
          <w:tab w:val="left" w:pos="2885"/>
        </w:tabs>
        <w:spacing w:before="240" w:after="0"/>
        <w:ind w:left="792" w:right="-30"/>
        <w:jc w:val="both"/>
        <w:rPr>
          <w:rFonts w:ascii="Arial" w:hAnsi="Arial" w:cs="Arial"/>
          <w:i/>
          <w:iCs/>
          <w:color w:val="FF0000"/>
        </w:rPr>
      </w:pPr>
      <w:r>
        <w:rPr>
          <w:rFonts w:ascii="Arial" w:hAnsi="Arial" w:cs="Arial"/>
          <w:i/>
          <w:iCs/>
          <w:color w:val="FF0000"/>
        </w:rPr>
        <w:tab/>
      </w:r>
    </w:p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246"/>
        <w:gridCol w:w="2244"/>
        <w:gridCol w:w="2245"/>
        <w:gridCol w:w="2249"/>
      </w:tblGrid>
      <w:tr w:rsidR="006531DA"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531DA" w:rsidRDefault="00F607B0">
            <w:pPr>
              <w:ind w:right="-30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>
              <w:rPr>
                <w:rFonts w:ascii="Arial" w:hAnsi="Arial" w:cs="Arial"/>
                <w:i/>
                <w:iCs/>
                <w:color w:val="FF0000"/>
              </w:rPr>
              <w:t>Item nº</w:t>
            </w:r>
          </w:p>
        </w:tc>
        <w:tc>
          <w:tcPr>
            <w:tcW w:w="2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531DA" w:rsidRDefault="00F607B0">
            <w:pPr>
              <w:ind w:right="-30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>
              <w:rPr>
                <w:rFonts w:ascii="Arial" w:hAnsi="Arial" w:cs="Arial"/>
                <w:i/>
                <w:iCs/>
                <w:color w:val="FF0000"/>
              </w:rPr>
              <w:t>Órgãos Participantes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531DA" w:rsidRDefault="00F607B0">
            <w:pPr>
              <w:ind w:right="-30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>
              <w:rPr>
                <w:rFonts w:ascii="Arial" w:hAnsi="Arial" w:cs="Arial"/>
                <w:i/>
                <w:iCs/>
                <w:color w:val="FF0000"/>
              </w:rPr>
              <w:t>Unidade</w:t>
            </w: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531DA" w:rsidRDefault="00F607B0">
            <w:pPr>
              <w:ind w:right="-30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  <w:r>
              <w:rPr>
                <w:rFonts w:ascii="Arial" w:hAnsi="Arial" w:cs="Arial"/>
                <w:i/>
                <w:iCs/>
                <w:color w:val="FF0000"/>
              </w:rPr>
              <w:t>Quantidade</w:t>
            </w:r>
          </w:p>
        </w:tc>
      </w:tr>
      <w:tr w:rsidR="006531DA"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531DA" w:rsidRDefault="006531DA">
            <w:pPr>
              <w:ind w:right="-30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</w:p>
        </w:tc>
        <w:tc>
          <w:tcPr>
            <w:tcW w:w="2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531DA" w:rsidRDefault="006531DA">
            <w:pPr>
              <w:ind w:right="-30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531DA" w:rsidRDefault="006531DA">
            <w:pPr>
              <w:ind w:right="-30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531DA" w:rsidRDefault="006531DA">
            <w:pPr>
              <w:ind w:right="-30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</w:p>
        </w:tc>
      </w:tr>
      <w:tr w:rsidR="006531DA"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531DA" w:rsidRDefault="006531DA">
            <w:pPr>
              <w:ind w:right="-30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</w:p>
        </w:tc>
        <w:tc>
          <w:tcPr>
            <w:tcW w:w="2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531DA" w:rsidRDefault="006531DA">
            <w:pPr>
              <w:ind w:right="-30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531DA" w:rsidRDefault="006531DA">
            <w:pPr>
              <w:ind w:right="-30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531DA" w:rsidRDefault="006531DA">
            <w:pPr>
              <w:ind w:right="-30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</w:p>
        </w:tc>
      </w:tr>
      <w:tr w:rsidR="006531DA"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531DA" w:rsidRDefault="006531DA">
            <w:pPr>
              <w:ind w:right="-30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</w:p>
        </w:tc>
        <w:tc>
          <w:tcPr>
            <w:tcW w:w="2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531DA" w:rsidRDefault="006531DA">
            <w:pPr>
              <w:ind w:right="-30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531DA" w:rsidRDefault="006531DA">
            <w:pPr>
              <w:ind w:right="-30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</w:p>
        </w:tc>
        <w:tc>
          <w:tcPr>
            <w:tcW w:w="2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6531DA" w:rsidRDefault="006531DA">
            <w:pPr>
              <w:ind w:right="-30"/>
              <w:jc w:val="center"/>
              <w:rPr>
                <w:rFonts w:ascii="Arial" w:hAnsi="Arial" w:cs="Arial"/>
                <w:i/>
                <w:iCs/>
                <w:color w:val="FF0000"/>
              </w:rPr>
            </w:pPr>
          </w:p>
        </w:tc>
      </w:tr>
    </w:tbl>
    <w:p w:rsidR="006531DA" w:rsidRDefault="006531DA">
      <w:pPr>
        <w:ind w:right="-30"/>
        <w:jc w:val="both"/>
        <w:rPr>
          <w:rFonts w:ascii="Arial" w:hAnsi="Arial" w:cs="Arial"/>
          <w:i/>
          <w:iCs/>
          <w:color w:val="FF0000"/>
        </w:rPr>
      </w:pPr>
    </w:p>
    <w:p w:rsidR="006531DA" w:rsidRDefault="006531DA">
      <w:pPr>
        <w:pStyle w:val="GradeColorida-nfase11"/>
        <w:rPr>
          <w:rFonts w:ascii="Arial" w:hAnsi="Arial"/>
          <w:sz w:val="24"/>
        </w:rPr>
      </w:pPr>
    </w:p>
    <w:p w:rsidR="006531DA" w:rsidRDefault="00F607B0">
      <w:pPr>
        <w:numPr>
          <w:ilvl w:val="0"/>
          <w:numId w:val="2"/>
        </w:numPr>
        <w:spacing w:before="240" w:after="0"/>
        <w:ind w:left="0" w:right="-3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VALIDADE DA ATA</w:t>
      </w:r>
    </w:p>
    <w:p w:rsidR="006531DA" w:rsidRDefault="00F607B0">
      <w:pPr>
        <w:numPr>
          <w:ilvl w:val="1"/>
          <w:numId w:val="2"/>
        </w:numPr>
        <w:spacing w:before="120" w:after="12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validade da Ata de Registro de Preços será de </w:t>
      </w:r>
      <w:r>
        <w:rPr>
          <w:rFonts w:ascii="Arial" w:hAnsi="Arial" w:cs="Arial"/>
          <w:i/>
          <w:color w:val="FF0000"/>
        </w:rPr>
        <w:t>12 meses</w:t>
      </w:r>
      <w:r>
        <w:rPr>
          <w:rFonts w:ascii="Arial" w:hAnsi="Arial" w:cs="Arial"/>
        </w:rPr>
        <w:t xml:space="preserve">, a partir </w:t>
      </w:r>
      <w:proofErr w:type="gramStart"/>
      <w:r>
        <w:rPr>
          <w:rFonts w:ascii="Arial" w:hAnsi="Arial" w:cs="Arial"/>
        </w:rPr>
        <w:t>do(</w:t>
      </w:r>
      <w:proofErr w:type="gramEnd"/>
      <w:r>
        <w:rPr>
          <w:rFonts w:ascii="Arial" w:hAnsi="Arial" w:cs="Arial"/>
        </w:rPr>
        <w:t xml:space="preserve">a) assinatura, </w:t>
      </w:r>
      <w:r>
        <w:rPr>
          <w:rFonts w:ascii="Arial" w:hAnsi="Arial" w:cs="Arial"/>
        </w:rPr>
        <w:t>não podendo ser prorrogada.</w:t>
      </w:r>
    </w:p>
    <w:p w:rsidR="006531DA" w:rsidRDefault="006531DA">
      <w:pPr>
        <w:pStyle w:val="GradeColorida-nfase11"/>
        <w:rPr>
          <w:rFonts w:ascii="Arial" w:hAnsi="Arial"/>
          <w:sz w:val="24"/>
        </w:rPr>
      </w:pPr>
    </w:p>
    <w:p w:rsidR="006531DA" w:rsidRDefault="006531DA">
      <w:pPr>
        <w:rPr>
          <w:rFonts w:ascii="Arial" w:hAnsi="Arial" w:cs="Arial"/>
          <w:color w:val="00B050"/>
          <w:lang w:eastAsia="en-US"/>
        </w:rPr>
      </w:pPr>
    </w:p>
    <w:p w:rsidR="006531DA" w:rsidRDefault="00F607B0">
      <w:pPr>
        <w:numPr>
          <w:ilvl w:val="0"/>
          <w:numId w:val="2"/>
        </w:numPr>
        <w:spacing w:before="240" w:after="0"/>
        <w:ind w:left="0" w:right="-3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REVISÃO E CANCELAMENTO</w:t>
      </w:r>
    </w:p>
    <w:p w:rsidR="006531DA" w:rsidRDefault="00F607B0">
      <w:pPr>
        <w:pStyle w:val="PargrafodaLista"/>
        <w:numPr>
          <w:ilvl w:val="1"/>
          <w:numId w:val="2"/>
        </w:numPr>
        <w:spacing w:before="120" w:after="120"/>
        <w:ind w:left="425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A Administração realizará pesquisa de mercado periodicamente, em intervalos não superiores a 180 (cento e oitenta) dias, a fim de verificar a </w:t>
      </w:r>
      <w:proofErr w:type="spellStart"/>
      <w:r>
        <w:rPr>
          <w:rFonts w:ascii="Arial" w:hAnsi="Arial" w:cs="Arial"/>
        </w:rPr>
        <w:t>vantajosidade</w:t>
      </w:r>
      <w:proofErr w:type="spellEnd"/>
      <w:r>
        <w:rPr>
          <w:rFonts w:ascii="Arial" w:hAnsi="Arial" w:cs="Arial"/>
        </w:rPr>
        <w:t xml:space="preserve"> dos preços registrados nesta Ata.</w:t>
      </w:r>
    </w:p>
    <w:p w:rsidR="006531DA" w:rsidRDefault="00F607B0">
      <w:pPr>
        <w:numPr>
          <w:ilvl w:val="1"/>
          <w:numId w:val="2"/>
        </w:numPr>
        <w:spacing w:before="120" w:after="12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t>Os preços reg</w:t>
      </w:r>
      <w:r>
        <w:rPr>
          <w:rFonts w:ascii="Arial" w:hAnsi="Arial" w:cs="Arial"/>
        </w:rPr>
        <w:t xml:space="preserve">istrados poderão ser revistos em decorrência de eventual redução dos preços praticados no mercado ou de fato que eleve o custo do objeto registrado, cabendo à Administração promover as negociações junto ao(s) </w:t>
      </w:r>
      <w:proofErr w:type="gramStart"/>
      <w:r>
        <w:rPr>
          <w:rFonts w:ascii="Arial" w:hAnsi="Arial" w:cs="Arial"/>
        </w:rPr>
        <w:t>fornecedor(</w:t>
      </w:r>
      <w:proofErr w:type="gramEnd"/>
      <w:r>
        <w:rPr>
          <w:rFonts w:ascii="Arial" w:hAnsi="Arial" w:cs="Arial"/>
        </w:rPr>
        <w:t>es).</w:t>
      </w:r>
    </w:p>
    <w:p w:rsidR="006531DA" w:rsidRDefault="00F607B0">
      <w:pPr>
        <w:numPr>
          <w:ilvl w:val="1"/>
          <w:numId w:val="2"/>
        </w:numPr>
        <w:spacing w:before="120" w:after="12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t>Quando o preço registrado torna</w:t>
      </w:r>
      <w:r>
        <w:rPr>
          <w:rFonts w:ascii="Arial" w:hAnsi="Arial" w:cs="Arial"/>
        </w:rPr>
        <w:t xml:space="preserve">r-se superior ao preço praticado no mercado por motivo superveniente, a Administração convocará o(s) </w:t>
      </w:r>
      <w:proofErr w:type="gramStart"/>
      <w:r>
        <w:rPr>
          <w:rFonts w:ascii="Arial" w:hAnsi="Arial" w:cs="Arial"/>
        </w:rPr>
        <w:t>fornecedor(</w:t>
      </w:r>
      <w:proofErr w:type="gramEnd"/>
      <w:r>
        <w:rPr>
          <w:rFonts w:ascii="Arial" w:hAnsi="Arial" w:cs="Arial"/>
        </w:rPr>
        <w:t>es) para negociar(em) a redução dos preços aos valores praticados pelo mercado.</w:t>
      </w:r>
    </w:p>
    <w:p w:rsidR="006531DA" w:rsidRDefault="00F607B0">
      <w:pPr>
        <w:numPr>
          <w:ilvl w:val="1"/>
          <w:numId w:val="2"/>
        </w:numPr>
        <w:spacing w:before="120" w:after="12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t>O fornecedor que não aceitar reduzir seu preço ao valor praticad</w:t>
      </w:r>
      <w:r>
        <w:rPr>
          <w:rFonts w:ascii="Arial" w:hAnsi="Arial" w:cs="Arial"/>
        </w:rPr>
        <w:t>o pelo mercado será liberado do compromisso assumido, sem aplicação de penalidade.</w:t>
      </w:r>
    </w:p>
    <w:p w:rsidR="006531DA" w:rsidRDefault="00F607B0">
      <w:pPr>
        <w:numPr>
          <w:ilvl w:val="2"/>
          <w:numId w:val="2"/>
        </w:numPr>
        <w:spacing w:before="120" w:after="120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 ordem de classificação dos fornecedores que aceitarem reduzir seus preços aos valores de mercado observará a classificação original.</w:t>
      </w:r>
    </w:p>
    <w:p w:rsidR="006531DA" w:rsidRDefault="00F607B0">
      <w:pPr>
        <w:numPr>
          <w:ilvl w:val="1"/>
          <w:numId w:val="2"/>
        </w:numPr>
        <w:spacing w:before="120" w:after="12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t>Quando o preço de mercado tornar-se su</w:t>
      </w:r>
      <w:r>
        <w:rPr>
          <w:rFonts w:ascii="Arial" w:hAnsi="Arial" w:cs="Arial"/>
        </w:rPr>
        <w:t>perior aos preços registrados e o fornecedor não puder cumprir o compromisso, o órgão gerenciador poderá:</w:t>
      </w:r>
    </w:p>
    <w:p w:rsidR="006531DA" w:rsidRDefault="00F607B0">
      <w:pPr>
        <w:numPr>
          <w:ilvl w:val="2"/>
          <w:numId w:val="2"/>
        </w:numPr>
        <w:spacing w:before="120" w:after="120"/>
        <w:ind w:left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liberar</w:t>
      </w:r>
      <w:proofErr w:type="gramEnd"/>
      <w:r>
        <w:rPr>
          <w:rFonts w:ascii="Arial" w:hAnsi="Arial" w:cs="Arial"/>
        </w:rPr>
        <w:t xml:space="preserve"> o fornecedor do compromisso assumido, caso a comunicação ocorra antes do pedido de fornecimento, e sem aplicação da penalidade se confirmada a</w:t>
      </w:r>
      <w:r>
        <w:rPr>
          <w:rFonts w:ascii="Arial" w:hAnsi="Arial" w:cs="Arial"/>
        </w:rPr>
        <w:t xml:space="preserve"> veracidade dos motivos e comprovantes apresentados; e</w:t>
      </w:r>
    </w:p>
    <w:p w:rsidR="006531DA" w:rsidRDefault="00F607B0">
      <w:pPr>
        <w:numPr>
          <w:ilvl w:val="2"/>
          <w:numId w:val="2"/>
        </w:numPr>
        <w:spacing w:before="120" w:after="120"/>
        <w:ind w:left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convocar</w:t>
      </w:r>
      <w:proofErr w:type="gramEnd"/>
      <w:r>
        <w:rPr>
          <w:rFonts w:ascii="Arial" w:hAnsi="Arial" w:cs="Arial"/>
        </w:rPr>
        <w:t xml:space="preserve"> os demais fornecedores para assegurar igual oportunidade de negociação.</w:t>
      </w:r>
    </w:p>
    <w:p w:rsidR="006531DA" w:rsidRDefault="00F607B0">
      <w:pPr>
        <w:numPr>
          <w:ilvl w:val="1"/>
          <w:numId w:val="2"/>
        </w:numPr>
        <w:spacing w:before="120" w:after="12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Não havendo êxito nas negociações, o órgão gerenciador deverá proceder à revogação desta ata de registro de preços, adot</w:t>
      </w:r>
      <w:r>
        <w:rPr>
          <w:rFonts w:ascii="Arial" w:hAnsi="Arial" w:cs="Arial"/>
        </w:rPr>
        <w:t>ando as medidas cabíveis para obtenção da contratação mais vantajosa.</w:t>
      </w:r>
    </w:p>
    <w:p w:rsidR="006531DA" w:rsidRDefault="00F607B0">
      <w:pPr>
        <w:numPr>
          <w:ilvl w:val="1"/>
          <w:numId w:val="2"/>
        </w:numPr>
        <w:spacing w:before="120" w:after="12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t>O registro do fornecedor será cancelado quando:</w:t>
      </w:r>
    </w:p>
    <w:p w:rsidR="006531DA" w:rsidRDefault="00F607B0">
      <w:pPr>
        <w:numPr>
          <w:ilvl w:val="2"/>
          <w:numId w:val="2"/>
        </w:numPr>
        <w:spacing w:before="120" w:after="120"/>
        <w:ind w:left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descumprir</w:t>
      </w:r>
      <w:proofErr w:type="gramEnd"/>
      <w:r>
        <w:rPr>
          <w:rFonts w:ascii="Arial" w:hAnsi="Arial" w:cs="Arial"/>
        </w:rPr>
        <w:t xml:space="preserve"> as condições da ata de registro de preços;</w:t>
      </w:r>
    </w:p>
    <w:p w:rsidR="006531DA" w:rsidRDefault="00F607B0">
      <w:pPr>
        <w:numPr>
          <w:ilvl w:val="2"/>
          <w:numId w:val="2"/>
        </w:numPr>
        <w:spacing w:before="120" w:after="120"/>
        <w:ind w:left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não</w:t>
      </w:r>
      <w:proofErr w:type="gramEnd"/>
      <w:r>
        <w:rPr>
          <w:rFonts w:ascii="Arial" w:hAnsi="Arial" w:cs="Arial"/>
        </w:rPr>
        <w:t xml:space="preserve"> retirar a nota de empenho ou instrumento equivalente no prazo estabelecido pela </w:t>
      </w:r>
      <w:r>
        <w:rPr>
          <w:rFonts w:ascii="Arial" w:hAnsi="Arial" w:cs="Arial"/>
        </w:rPr>
        <w:t>Administração, sem justificativa aceitável;</w:t>
      </w:r>
    </w:p>
    <w:p w:rsidR="006531DA" w:rsidRDefault="00F607B0">
      <w:pPr>
        <w:numPr>
          <w:ilvl w:val="2"/>
          <w:numId w:val="2"/>
        </w:numPr>
        <w:spacing w:before="120" w:after="120"/>
        <w:ind w:left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não</w:t>
      </w:r>
      <w:proofErr w:type="gramEnd"/>
      <w:r>
        <w:rPr>
          <w:rFonts w:ascii="Arial" w:hAnsi="Arial" w:cs="Arial"/>
        </w:rPr>
        <w:t xml:space="preserve"> aceitar reduzir o seu preço registrado, na hipótese deste se tornar superior àqueles praticados no mercado; ou</w:t>
      </w:r>
    </w:p>
    <w:p w:rsidR="006531DA" w:rsidRDefault="00F607B0">
      <w:pPr>
        <w:numPr>
          <w:ilvl w:val="2"/>
          <w:numId w:val="2"/>
        </w:numPr>
        <w:spacing w:before="120" w:after="120"/>
        <w:ind w:left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sofrer</w:t>
      </w:r>
      <w:proofErr w:type="gramEnd"/>
      <w:r>
        <w:rPr>
          <w:rFonts w:ascii="Arial" w:hAnsi="Arial" w:cs="Arial"/>
        </w:rPr>
        <w:t xml:space="preserve"> sanção administrativa cujo efeito torne-o proibido de celebrar contrato administrativo, al</w:t>
      </w:r>
      <w:r>
        <w:rPr>
          <w:rFonts w:ascii="Arial" w:hAnsi="Arial" w:cs="Arial"/>
        </w:rPr>
        <w:t>cançando o órgão gerenciador e órgão(s) participante(s).</w:t>
      </w:r>
    </w:p>
    <w:p w:rsidR="006531DA" w:rsidRDefault="00F607B0">
      <w:pPr>
        <w:numPr>
          <w:ilvl w:val="1"/>
          <w:numId w:val="2"/>
        </w:numPr>
        <w:spacing w:before="120" w:after="12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t>O cancelamento de registros nas hipóteses previstas nos itens 5.7.1, 5.7.2 e 5.7.4 será formalizado por despacho do órgão gerenciador, assegurado o contraditório e a ampla defesa.</w:t>
      </w:r>
    </w:p>
    <w:p w:rsidR="006531DA" w:rsidRDefault="00F607B0">
      <w:pPr>
        <w:numPr>
          <w:ilvl w:val="1"/>
          <w:numId w:val="2"/>
        </w:numPr>
        <w:spacing w:before="120" w:after="12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t>O cancelamento do r</w:t>
      </w:r>
      <w:r>
        <w:rPr>
          <w:rFonts w:ascii="Arial" w:hAnsi="Arial" w:cs="Arial"/>
        </w:rPr>
        <w:t>egistro de preços poderá ocorrer por fato superveniente, decorrente de caso fortuito ou força maior, que prejudique o cumprimento da ata, devidamente comprovados e justificados:</w:t>
      </w:r>
    </w:p>
    <w:p w:rsidR="006531DA" w:rsidRDefault="00F607B0">
      <w:pPr>
        <w:numPr>
          <w:ilvl w:val="2"/>
          <w:numId w:val="2"/>
        </w:numPr>
        <w:spacing w:before="120" w:after="120"/>
        <w:ind w:left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por</w:t>
      </w:r>
      <w:proofErr w:type="gramEnd"/>
      <w:r>
        <w:rPr>
          <w:rFonts w:ascii="Arial" w:hAnsi="Arial" w:cs="Arial"/>
        </w:rPr>
        <w:t xml:space="preserve"> razão de interesse público; ou</w:t>
      </w:r>
    </w:p>
    <w:p w:rsidR="006531DA" w:rsidRDefault="00F607B0">
      <w:pPr>
        <w:numPr>
          <w:ilvl w:val="2"/>
          <w:numId w:val="2"/>
        </w:numPr>
        <w:spacing w:before="120" w:after="120"/>
        <w:ind w:left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pedido do fornecedor.</w:t>
      </w:r>
    </w:p>
    <w:p w:rsidR="006531DA" w:rsidRDefault="006531DA">
      <w:pPr>
        <w:spacing w:before="120" w:after="120"/>
        <w:ind w:left="425"/>
        <w:jc w:val="both"/>
        <w:rPr>
          <w:rFonts w:ascii="Arial" w:hAnsi="Arial" w:cs="Arial"/>
        </w:rPr>
      </w:pPr>
    </w:p>
    <w:p w:rsidR="006531DA" w:rsidRDefault="00F607B0">
      <w:pPr>
        <w:numPr>
          <w:ilvl w:val="0"/>
          <w:numId w:val="2"/>
        </w:numPr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CONDIÇÕES GERAIS</w:t>
      </w:r>
    </w:p>
    <w:p w:rsidR="006531DA" w:rsidRDefault="00F607B0">
      <w:pPr>
        <w:numPr>
          <w:ilvl w:val="1"/>
          <w:numId w:val="2"/>
        </w:numPr>
        <w:spacing w:before="120" w:after="120"/>
        <w:ind w:left="425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As condições gerais do fornecimento, tais como os prazos para entrega e recebimento do objeto, as obrigações da Administração e do fornecedor registrado, penalidades e demais condições do ajuste, encontram-se definidos no Termo de Referência, ANEXO AO EDIT</w:t>
      </w:r>
      <w:r>
        <w:rPr>
          <w:rFonts w:ascii="Arial" w:hAnsi="Arial" w:cs="Arial"/>
          <w:iCs/>
        </w:rPr>
        <w:t>AL.</w:t>
      </w:r>
    </w:p>
    <w:p w:rsidR="006531DA" w:rsidRDefault="00F607B0">
      <w:pPr>
        <w:numPr>
          <w:ilvl w:val="1"/>
          <w:numId w:val="2"/>
        </w:numPr>
        <w:spacing w:before="120" w:after="120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lastRenderedPageBreak/>
        <w:t>É vedado efetuar acréscimos nos quantitativos fixados nesta ata de registro de preços, inclusive o acréscimo de que trata o § 1º do art</w:t>
      </w:r>
      <w:r>
        <w:rPr>
          <w:rFonts w:ascii="Arial" w:hAnsi="Arial" w:cs="Arial"/>
        </w:rPr>
        <w:t>. 65 da Lei nº 8.666/93.</w:t>
      </w:r>
    </w:p>
    <w:p w:rsidR="006531DA" w:rsidRDefault="00F607B0">
      <w:pPr>
        <w:numPr>
          <w:ilvl w:val="1"/>
          <w:numId w:val="2"/>
        </w:numPr>
        <w:spacing w:before="120" w:after="120"/>
        <w:ind w:left="425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A ata de realização da sessão pública do pregão, contendo a relação dos licitantes que </w:t>
      </w:r>
      <w:r>
        <w:rPr>
          <w:rFonts w:ascii="Arial" w:hAnsi="Arial" w:cs="Arial"/>
          <w:i/>
          <w:iCs/>
          <w:color w:val="000000"/>
        </w:rPr>
        <w:t>aceitarem cotar os bens ou serviços com preços iguais ao do licitante vencedor do certame, será anexada a esta Ata de Registro de Preços, nos termos do art. 11, §4º do Decreto n. 7.892, de 2014.</w:t>
      </w:r>
    </w:p>
    <w:p w:rsidR="006531DA" w:rsidRDefault="006531DA">
      <w:pPr>
        <w:spacing w:before="240" w:after="0"/>
        <w:ind w:left="567" w:right="-15"/>
        <w:jc w:val="both"/>
        <w:rPr>
          <w:rFonts w:ascii="Arial" w:hAnsi="Arial" w:cs="Arial"/>
        </w:rPr>
      </w:pPr>
    </w:p>
    <w:p w:rsidR="006531DA" w:rsidRDefault="00F607B0">
      <w:pPr>
        <w:ind w:right="-15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>Para firmeza e validade do pactuado, a presente Ata foi lavr</w:t>
      </w:r>
      <w:r>
        <w:rPr>
          <w:rFonts w:ascii="Arial" w:hAnsi="Arial" w:cs="Arial"/>
          <w:color w:val="000000"/>
        </w:rPr>
        <w:t xml:space="preserve">ada </w:t>
      </w:r>
      <w:proofErr w:type="gramStart"/>
      <w:r>
        <w:rPr>
          <w:rFonts w:ascii="Arial" w:hAnsi="Arial" w:cs="Arial"/>
          <w:color w:val="000000"/>
        </w:rPr>
        <w:t>em ...</w:t>
      </w:r>
      <w:proofErr w:type="gramEnd"/>
      <w:r>
        <w:rPr>
          <w:rFonts w:ascii="Arial" w:hAnsi="Arial" w:cs="Arial"/>
          <w:color w:val="000000"/>
        </w:rPr>
        <w:t>. (</w:t>
      </w:r>
      <w:proofErr w:type="gramStart"/>
      <w:r>
        <w:rPr>
          <w:rFonts w:ascii="Arial" w:hAnsi="Arial" w:cs="Arial"/>
          <w:color w:val="000000"/>
        </w:rPr>
        <w:t>....</w:t>
      </w:r>
      <w:proofErr w:type="gramEnd"/>
      <w:r>
        <w:rPr>
          <w:rFonts w:ascii="Arial" w:hAnsi="Arial" w:cs="Arial"/>
          <w:color w:val="000000"/>
        </w:rPr>
        <w:t xml:space="preserve">) vias de igual teor, que, depois de lida e achada em ordem, vai assinada pelas partes </w:t>
      </w:r>
      <w:r>
        <w:rPr>
          <w:rFonts w:ascii="Arial" w:hAnsi="Arial" w:cs="Arial"/>
          <w:i/>
          <w:iCs/>
          <w:color w:val="000000"/>
        </w:rPr>
        <w:t>e encaminhada cópia aos demais órgãos participantes (se houver).</w:t>
      </w:r>
    </w:p>
    <w:p w:rsidR="006531DA" w:rsidRDefault="006531DA">
      <w:pPr>
        <w:ind w:right="-15"/>
        <w:jc w:val="both"/>
        <w:rPr>
          <w:rFonts w:ascii="Arial" w:hAnsi="Arial" w:cs="Arial"/>
          <w:i/>
          <w:iCs/>
          <w:color w:val="FF0000"/>
        </w:rPr>
      </w:pPr>
    </w:p>
    <w:p w:rsidR="006531DA" w:rsidRDefault="00F607B0">
      <w:pPr>
        <w:ind w:right="-30"/>
        <w:jc w:val="center"/>
        <w:rPr>
          <w:rFonts w:ascii="Arial" w:hAnsi="Arial" w:cs="Arial"/>
        </w:rPr>
      </w:pPr>
      <w:r>
        <w:rPr>
          <w:rFonts w:ascii="Arial" w:hAnsi="Arial" w:cs="Arial"/>
        </w:rPr>
        <w:t>Local e data</w:t>
      </w:r>
    </w:p>
    <w:p w:rsidR="006531DA" w:rsidRDefault="00F607B0">
      <w:pPr>
        <w:ind w:right="-30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Assinaturas</w:t>
      </w:r>
    </w:p>
    <w:p w:rsidR="006531DA" w:rsidRDefault="006531DA">
      <w:pPr>
        <w:ind w:right="-30"/>
        <w:jc w:val="center"/>
        <w:rPr>
          <w:rFonts w:ascii="Arial" w:hAnsi="Arial" w:cs="Arial"/>
        </w:rPr>
      </w:pPr>
    </w:p>
    <w:p w:rsidR="006531DA" w:rsidRDefault="00F607B0">
      <w:pPr>
        <w:ind w:right="-3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Representante legal do órgão gerenciador e representante(s) </w:t>
      </w:r>
      <w:proofErr w:type="gramStart"/>
      <w:r>
        <w:rPr>
          <w:rFonts w:ascii="Arial" w:hAnsi="Arial" w:cs="Arial"/>
        </w:rPr>
        <w:t>legal(</w:t>
      </w:r>
      <w:proofErr w:type="spellStart"/>
      <w:proofErr w:type="gramEnd"/>
      <w:r>
        <w:rPr>
          <w:rFonts w:ascii="Arial" w:hAnsi="Arial" w:cs="Arial"/>
        </w:rPr>
        <w:t>is</w:t>
      </w:r>
      <w:proofErr w:type="spellEnd"/>
      <w:r>
        <w:rPr>
          <w:rFonts w:ascii="Arial" w:hAnsi="Arial" w:cs="Arial"/>
        </w:rPr>
        <w:t xml:space="preserve">) do(s) </w:t>
      </w:r>
      <w:r>
        <w:rPr>
          <w:rFonts w:ascii="Arial" w:hAnsi="Arial" w:cs="Arial"/>
          <w:color w:val="000000"/>
        </w:rPr>
        <w:t>fornecedor(s) registrado(s)</w:t>
      </w:r>
    </w:p>
    <w:p w:rsidR="006531DA" w:rsidRDefault="006531DA">
      <w:pPr>
        <w:rPr>
          <w:rFonts w:ascii="Arial" w:hAnsi="Arial" w:cs="Arial"/>
          <w:color w:val="000000"/>
        </w:rPr>
      </w:pPr>
    </w:p>
    <w:p w:rsidR="006531DA" w:rsidRDefault="006531DA"/>
    <w:p w:rsidR="006531DA" w:rsidRDefault="006531DA"/>
    <w:p w:rsidR="006531DA" w:rsidRDefault="006531DA"/>
    <w:p w:rsidR="006531DA" w:rsidRDefault="006531DA"/>
    <w:sectPr w:rsidR="006531DA">
      <w:headerReference w:type="default" r:id="rId8"/>
      <w:footerReference w:type="default" r:id="rId9"/>
      <w:pgSz w:w="11906" w:h="16838"/>
      <w:pgMar w:top="1418" w:right="1134" w:bottom="1418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607B0">
      <w:pPr>
        <w:spacing w:after="0" w:line="240" w:lineRule="auto"/>
      </w:pPr>
      <w:r>
        <w:separator/>
      </w:r>
    </w:p>
  </w:endnote>
  <w:endnote w:type="continuationSeparator" w:id="0">
    <w:p w:rsidR="00000000" w:rsidRDefault="00F60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-Bold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1DA" w:rsidRDefault="00F607B0">
    <w:pPr>
      <w:pStyle w:val="Rodap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____________________________________________________________________</w:t>
    </w:r>
  </w:p>
  <w:p w:rsidR="006531DA" w:rsidRDefault="00F607B0">
    <w:pPr>
      <w:tabs>
        <w:tab w:val="center" w:pos="4252"/>
        <w:tab w:val="right" w:pos="8504"/>
      </w:tabs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São João do Barro Preto, Interior, </w:t>
    </w:r>
    <w:proofErr w:type="spellStart"/>
    <w:r>
      <w:rPr>
        <w:rFonts w:ascii="Arial" w:hAnsi="Arial" w:cs="Arial"/>
        <w:sz w:val="14"/>
        <w:szCs w:val="14"/>
      </w:rPr>
      <w:t>Cx.P</w:t>
    </w:r>
    <w:proofErr w:type="spellEnd"/>
    <w:r>
      <w:rPr>
        <w:rFonts w:ascii="Arial" w:hAnsi="Arial" w:cs="Arial"/>
        <w:sz w:val="14"/>
        <w:szCs w:val="14"/>
      </w:rPr>
      <w:t xml:space="preserve">. 38, CEP: </w:t>
    </w:r>
    <w:proofErr w:type="gramStart"/>
    <w:r>
      <w:rPr>
        <w:rFonts w:ascii="Arial" w:hAnsi="Arial" w:cs="Arial"/>
        <w:sz w:val="14"/>
        <w:szCs w:val="14"/>
      </w:rPr>
      <w:t>98130-000, Júlio</w:t>
    </w:r>
    <w:proofErr w:type="gramEnd"/>
    <w:r>
      <w:rPr>
        <w:rFonts w:ascii="Arial" w:hAnsi="Arial" w:cs="Arial"/>
        <w:sz w:val="14"/>
        <w:szCs w:val="14"/>
      </w:rPr>
      <w:t xml:space="preserve"> de Castilhos/RS</w:t>
    </w:r>
  </w:p>
  <w:p w:rsidR="006531DA" w:rsidRDefault="00F607B0">
    <w:pPr>
      <w:tabs>
        <w:tab w:val="center" w:pos="4252"/>
        <w:tab w:val="right" w:pos="8504"/>
      </w:tabs>
      <w:jc w:val="center"/>
      <w:rPr>
        <w:rFonts w:ascii="Helvetica-Bold" w:eastAsia="Helvetica-Bold" w:hAnsi="Helvetica-Bold" w:cs="Helvetica-Bold"/>
        <w:b/>
        <w:bCs/>
        <w:sz w:val="15"/>
        <w:szCs w:val="15"/>
      </w:rPr>
    </w:pPr>
    <w:r>
      <w:rPr>
        <w:rFonts w:ascii="Helvetica-Bold" w:eastAsia="Helvetica-Bold" w:hAnsi="Helvetica-Bold" w:cs="Helvetica-Bold"/>
        <w:b/>
        <w:bCs/>
        <w:sz w:val="15"/>
        <w:szCs w:val="15"/>
      </w:rPr>
      <w:t xml:space="preserve">Fone: (55) 3271-9505/ E-mail: </w:t>
    </w:r>
    <w:hyperlink r:id="rId1">
      <w:r>
        <w:rPr>
          <w:rStyle w:val="LinkdaInternet"/>
          <w:rFonts w:ascii="Helvetica-Bold" w:eastAsia="Helvetica-Bold" w:hAnsi="Helvetica-Bold"/>
          <w:color w:val="000080"/>
        </w:rPr>
        <w:t>licita</w:t>
      </w:r>
    </w:hyperlink>
    <w:hyperlink r:id="rId2">
      <w:r>
        <w:rPr>
          <w:rStyle w:val="LinkdaInternet"/>
          <w:rFonts w:ascii="Helvetica-Bold" w:eastAsia="Helvetica-Bold" w:hAnsi="Helvetica-Bold"/>
          <w:color w:val="000080"/>
        </w:rPr>
        <w:t>co</w:t>
      </w:r>
    </w:hyperlink>
    <w:hyperlink r:id="rId3">
      <w:r>
        <w:rPr>
          <w:rStyle w:val="LinkdaInternet"/>
          <w:rFonts w:ascii="Helvetica-Bold" w:eastAsia="Helvetica-Bold" w:hAnsi="Helvetica-Bold"/>
          <w:color w:val="000080"/>
        </w:rPr>
        <w:t>es</w:t>
      </w:r>
    </w:hyperlink>
    <w:hyperlink r:id="rId4">
      <w:r>
        <w:rPr>
          <w:rStyle w:val="LinkdaInternet"/>
          <w:rFonts w:ascii="Helvetica-Bold" w:eastAsia="Helvetica-Bold" w:hAnsi="Helvetica-Bold"/>
          <w:color w:val="000080"/>
        </w:rPr>
        <w:t>.jc</w:t>
      </w:r>
    </w:hyperlink>
    <w:hyperlink r:id="rId5">
      <w:r>
        <w:rPr>
          <w:rStyle w:val="LinkdaInternet"/>
          <w:rFonts w:ascii="Helvetica-Bold" w:eastAsia="Helvetica-Bold" w:hAnsi="Helvetica-Bold"/>
          <w:color w:val="000080"/>
        </w:rPr>
        <w:t>@</w:t>
      </w:r>
      <w:proofErr w:type="gramStart"/>
      <w:r>
        <w:rPr>
          <w:rStyle w:val="LinkdaInternet"/>
          <w:rFonts w:ascii="Helvetica-Bold" w:eastAsia="Helvetica-Bold" w:hAnsi="Helvetica-Bold"/>
          <w:color w:val="000080"/>
        </w:rPr>
        <w:t>iffarroupil</w:t>
      </w:r>
      <w:r>
        <w:rPr>
          <w:rStyle w:val="LinkdaInternet"/>
          <w:rFonts w:ascii="Helvetica-Bold" w:eastAsia="Helvetica-Bold" w:hAnsi="Helvetica-Bold"/>
          <w:color w:val="000080"/>
        </w:rPr>
        <w:t>ha.edu.</w:t>
      </w:r>
      <w:proofErr w:type="gramEnd"/>
      <w:r>
        <w:rPr>
          <w:rStyle w:val="LinkdaInternet"/>
          <w:rFonts w:ascii="Helvetica-Bold" w:eastAsia="Helvetica-Bold" w:hAnsi="Helvetica-Bold"/>
          <w:color w:val="000080"/>
        </w:rPr>
        <w:t>br</w:t>
      </w:r>
    </w:hyperlink>
    <w:r>
      <w:rPr>
        <w:rFonts w:ascii="Helvetica-Bold" w:eastAsia="Helvetica-Bold" w:hAnsi="Helvetica-Bold" w:cs="Helvetica-Bold"/>
        <w:b/>
        <w:bCs/>
        <w:sz w:val="15"/>
        <w:szCs w:val="15"/>
      </w:rPr>
      <w:t>.</w:t>
    </w:r>
  </w:p>
  <w:p w:rsidR="006531DA" w:rsidRDefault="006531DA">
    <w:pPr>
      <w:pStyle w:val="Rodap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607B0">
      <w:pPr>
        <w:spacing w:after="0" w:line="240" w:lineRule="auto"/>
      </w:pPr>
      <w:r>
        <w:separator/>
      </w:r>
    </w:p>
  </w:footnote>
  <w:footnote w:type="continuationSeparator" w:id="0">
    <w:p w:rsidR="00000000" w:rsidRDefault="00F60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1DA" w:rsidRDefault="00F607B0">
    <w:pPr>
      <w:pStyle w:val="Cabealho"/>
      <w:jc w:val="center"/>
    </w:pPr>
    <w:r>
      <w:rPr>
        <w:noProof/>
      </w:rPr>
      <w:drawing>
        <wp:inline distT="0" distB="0" distL="0" distR="0">
          <wp:extent cx="532130" cy="54038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403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531DA" w:rsidRDefault="00F607B0">
    <w:pPr>
      <w:pageBreakBefore/>
      <w:widowControl w:val="0"/>
      <w:spacing w:line="100" w:lineRule="atLeast"/>
      <w:jc w:val="center"/>
      <w:rPr>
        <w:rFonts w:ascii="Arial" w:eastAsia="Calibri" w:hAnsi="Arial" w:cs="Arial"/>
        <w:b/>
        <w:sz w:val="20"/>
        <w:szCs w:val="20"/>
        <w:lang w:eastAsia="hi-IN" w:bidi="hi-IN"/>
      </w:rPr>
    </w:pPr>
    <w:r>
      <w:rPr>
        <w:rFonts w:ascii="Arial" w:eastAsia="Calibri" w:hAnsi="Arial" w:cs="Arial"/>
        <w:b/>
        <w:sz w:val="20"/>
        <w:szCs w:val="20"/>
        <w:lang w:eastAsia="hi-IN" w:bidi="hi-IN"/>
      </w:rPr>
      <w:t>MINISTÉRIO DA EDUCAÇÃO</w:t>
    </w:r>
  </w:p>
  <w:p w:rsidR="006531DA" w:rsidRDefault="00F607B0">
    <w:pPr>
      <w:widowControl w:val="0"/>
      <w:spacing w:line="100" w:lineRule="atLeast"/>
      <w:jc w:val="center"/>
      <w:rPr>
        <w:rFonts w:ascii="Arial" w:eastAsia="Calibri" w:hAnsi="Arial" w:cs="Arial"/>
        <w:sz w:val="14"/>
        <w:szCs w:val="14"/>
        <w:lang w:eastAsia="hi-IN" w:bidi="hi-IN"/>
      </w:rPr>
    </w:pPr>
    <w:r>
      <w:rPr>
        <w:rFonts w:ascii="Arial" w:eastAsia="Calibri" w:hAnsi="Arial" w:cs="Arial"/>
        <w:sz w:val="14"/>
        <w:szCs w:val="14"/>
        <w:lang w:eastAsia="hi-IN" w:bidi="hi-IN"/>
      </w:rPr>
      <w:t>INSTITUTO FEDERAL FARROUPILHA</w:t>
    </w:r>
  </w:p>
  <w:p w:rsidR="006531DA" w:rsidRDefault="00F607B0">
    <w:pPr>
      <w:tabs>
        <w:tab w:val="center" w:pos="4252"/>
        <w:tab w:val="right" w:pos="8504"/>
      </w:tabs>
      <w:jc w:val="center"/>
      <w:rPr>
        <w:rFonts w:ascii="Arial" w:hAnsi="Arial"/>
      </w:rPr>
    </w:pPr>
    <w:r>
      <w:rPr>
        <w:rFonts w:ascii="Arial" w:hAnsi="Arial"/>
      </w:rPr>
      <w:t>CÂMPUS JÚLIO DE CASTILHOS</w:t>
    </w:r>
  </w:p>
  <w:p w:rsidR="006531DA" w:rsidRDefault="006531DA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CDF"/>
    <w:multiLevelType w:val="multilevel"/>
    <w:tmpl w:val="FA1E01CE"/>
    <w:lvl w:ilvl="0">
      <w:start w:val="1"/>
      <w:numFmt w:val="decimal"/>
      <w:lvlText w:val="%1"/>
      <w:lvlJc w:val="left"/>
      <w:pPr>
        <w:tabs>
          <w:tab w:val="num" w:pos="360"/>
        </w:tabs>
        <w:ind w:left="360" w:firstLine="0"/>
      </w:pPr>
      <w:rPr>
        <w:b/>
      </w:rPr>
    </w:lvl>
    <w:lvl w:ilvl="1">
      <w:start w:val="1"/>
      <w:numFmt w:val="decimal"/>
      <w:lvlText w:val="%2"/>
      <w:lvlJc w:val="left"/>
      <w:pPr>
        <w:tabs>
          <w:tab w:val="num" w:pos="360"/>
        </w:tabs>
        <w:ind w:left="360" w:firstLine="0"/>
      </w:pPr>
      <w:rPr>
        <w:sz w:val="20"/>
        <w:szCs w:val="20"/>
      </w:rPr>
    </w:lvl>
    <w:lvl w:ilvl="2">
      <w:start w:val="1"/>
      <w:numFmt w:val="decimal"/>
      <w:lvlText w:val="%3"/>
      <w:lvlJc w:val="left"/>
      <w:pPr>
        <w:tabs>
          <w:tab w:val="num" w:pos="360"/>
        </w:tabs>
        <w:ind w:left="36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360" w:firstLine="0"/>
      </w:pPr>
    </w:lvl>
    <w:lvl w:ilvl="4">
      <w:start w:val="1"/>
      <w:numFmt w:val="decimal"/>
      <w:lvlText w:val="%5"/>
      <w:lvlJc w:val="left"/>
      <w:pPr>
        <w:tabs>
          <w:tab w:val="num" w:pos="360"/>
        </w:tabs>
        <w:ind w:left="36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360" w:firstLine="0"/>
      </w:pPr>
    </w:lvl>
    <w:lvl w:ilvl="6">
      <w:start w:val="1"/>
      <w:numFmt w:val="decimal"/>
      <w:lvlText w:val="%7"/>
      <w:lvlJc w:val="left"/>
      <w:pPr>
        <w:tabs>
          <w:tab w:val="num" w:pos="360"/>
        </w:tabs>
        <w:ind w:left="360" w:firstLine="0"/>
      </w:pPr>
    </w:lvl>
    <w:lvl w:ilvl="7">
      <w:start w:val="1"/>
      <w:numFmt w:val="decimal"/>
      <w:lvlText w:val="%8"/>
      <w:lvlJc w:val="left"/>
      <w:pPr>
        <w:tabs>
          <w:tab w:val="num" w:pos="360"/>
        </w:tabs>
        <w:ind w:left="360" w:firstLine="0"/>
      </w:pPr>
    </w:lvl>
    <w:lvl w:ilvl="8">
      <w:start w:val="1"/>
      <w:numFmt w:val="decimal"/>
      <w:lvlText w:val="%9"/>
      <w:lvlJc w:val="left"/>
      <w:pPr>
        <w:tabs>
          <w:tab w:val="num" w:pos="360"/>
        </w:tabs>
        <w:ind w:left="360" w:firstLine="0"/>
      </w:pPr>
    </w:lvl>
  </w:abstractNum>
  <w:abstractNum w:abstractNumId="1">
    <w:nsid w:val="25BC4CE1"/>
    <w:multiLevelType w:val="multilevel"/>
    <w:tmpl w:val="57ACFA26"/>
    <w:lvl w:ilvl="0">
      <w:start w:val="1"/>
      <w:numFmt w:val="decimal"/>
      <w:lvlText w:val="%1"/>
      <w:lvlJc w:val="left"/>
      <w:pPr>
        <w:ind w:left="0" w:firstLine="0"/>
      </w:pPr>
      <w:rPr>
        <w:b/>
      </w:rPr>
    </w:lvl>
    <w:lvl w:ilvl="1">
      <w:start w:val="1"/>
      <w:numFmt w:val="decimal"/>
      <w:lvlText w:val="%2"/>
      <w:lvlJc w:val="left"/>
      <w:pPr>
        <w:ind w:left="0" w:firstLine="0"/>
      </w:pPr>
      <w:rPr>
        <w:sz w:val="20"/>
        <w:szCs w:val="20"/>
      </w:r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2">
    <w:nsid w:val="50D077FB"/>
    <w:multiLevelType w:val="multilevel"/>
    <w:tmpl w:val="50CE801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31DA"/>
    <w:rsid w:val="006531DA"/>
    <w:rsid w:val="00F6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rFonts w:ascii="Ecofont_Spranq_eco_Sans" w:eastAsia="Times New Roman" w:hAnsi="Ecofont_Spranq_eco_Sans" w:cs="Tahom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CabealhoChar">
    <w:name w:val="Cabeçalho Char"/>
    <w:basedOn w:val="Fontepargpadro"/>
    <w:rPr>
      <w:rFonts w:ascii="Ecofont_Spranq_eco_Sans" w:hAnsi="Ecofont_Spranq_eco_Sans" w:cs="Tahoma"/>
      <w:sz w:val="24"/>
      <w:szCs w:val="24"/>
    </w:rPr>
  </w:style>
  <w:style w:type="character" w:customStyle="1" w:styleId="RodapChar">
    <w:name w:val="Rodapé Char"/>
    <w:basedOn w:val="Fontepargpadro"/>
    <w:rPr>
      <w:rFonts w:ascii="Ecofont_Spranq_eco_Sans" w:hAnsi="Ecofont_Spranq_eco_Sans" w:cs="Tahoma"/>
      <w:sz w:val="24"/>
      <w:szCs w:val="24"/>
    </w:rPr>
  </w:style>
  <w:style w:type="character" w:customStyle="1" w:styleId="citao2Char">
    <w:name w:val="citação 2 Char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CitaoChar">
    <w:name w:val="Citação Char"/>
    <w:basedOn w:val="Fontepargpadro"/>
    <w:rPr>
      <w:rFonts w:ascii="Ecofont_Spranq_eco_Sans" w:hAnsi="Ecofont_Spranq_eco_Sans" w:cs="Tahoma"/>
      <w:i/>
      <w:iCs/>
      <w:color w:val="000000"/>
      <w:sz w:val="24"/>
      <w:szCs w:val="24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sz w:val="20"/>
      <w:szCs w:val="20"/>
    </w:rPr>
  </w:style>
  <w:style w:type="character" w:customStyle="1" w:styleId="ListLabel3">
    <w:name w:val="ListLabel 3"/>
    <w:rPr>
      <w:rFonts w:cs="Courier New"/>
    </w:r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otexto">
    <w:name w:val="Corpo do texto"/>
    <w:basedOn w:val="Normal"/>
    <w:pPr>
      <w:spacing w:before="280" w:after="280"/>
    </w:pPr>
    <w:rPr>
      <w:rFonts w:ascii="Times New Roman" w:hAnsi="Times New Roman" w:cs="Times New Roman"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GradeColorida-nfase11">
    <w:name w:val="Grade Colorida - Ênfase 11"/>
    <w:basedOn w:val="Normal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shd w:val="clear" w:color="auto" w:fill="FFFFCC"/>
      <w:spacing w:before="120" w:after="0"/>
      <w:jc w:val="both"/>
    </w:pPr>
    <w:rPr>
      <w:rFonts w:eastAsia="Calibri"/>
      <w:i/>
      <w:iCs/>
      <w:color w:val="000000"/>
      <w:sz w:val="20"/>
      <w:lang w:eastAsia="en-US"/>
    </w:rPr>
  </w:style>
  <w:style w:type="paragraph" w:styleId="PargrafodaLista">
    <w:name w:val="List Paragraph"/>
    <w:basedOn w:val="Normal"/>
    <w:pPr>
      <w:spacing w:after="0"/>
      <w:ind w:left="720"/>
      <w:contextualSpacing/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itao2">
    <w:name w:val="citação 2"/>
    <w:pPr>
      <w:widowControl w:val="0"/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shd w:val="clear" w:color="auto" w:fill="FFFFCC"/>
      <w:suppressAutoHyphens/>
      <w:spacing w:before="120" w:after="0"/>
      <w:jc w:val="both"/>
    </w:pPr>
    <w:rPr>
      <w:rFonts w:ascii="Times New Roman" w:eastAsia="Calibri" w:hAnsi="Times New Roman" w:cs="Times New Roman"/>
      <w:color w:val="000000"/>
      <w:sz w:val="20"/>
      <w:szCs w:val="20"/>
      <w:lang w:eastAsia="en-US"/>
    </w:rPr>
  </w:style>
  <w:style w:type="paragraph" w:styleId="Citao">
    <w:name w:val="Quote"/>
    <w:basedOn w:val="Normal"/>
    <w:rPr>
      <w:i/>
      <w:iCs/>
      <w:color w:val="000000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oes.jc@iffarroupilha.edu.br" TargetMode="External"/><Relationship Id="rId2" Type="http://schemas.openxmlformats.org/officeDocument/2006/relationships/hyperlink" Target="mailto:licitacoes.jc@iffarroupilha.edu.br" TargetMode="External"/><Relationship Id="rId1" Type="http://schemas.openxmlformats.org/officeDocument/2006/relationships/hyperlink" Target="mailto:licitacoes.jc@iffarroupilha.edu.br" TargetMode="External"/><Relationship Id="rId5" Type="http://schemas.openxmlformats.org/officeDocument/2006/relationships/hyperlink" Target="mailto:licitacoes.jc@iffarroupilha.edu.br" TargetMode="External"/><Relationship Id="rId4" Type="http://schemas.openxmlformats.org/officeDocument/2006/relationships/hyperlink" Target="mailto:licitacoes.jc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923</Words>
  <Characters>4990</Characters>
  <Application>Microsoft Office Word</Application>
  <DocSecurity>0</DocSecurity>
  <Lines>41</Lines>
  <Paragraphs>11</Paragraphs>
  <ScaleCrop>false</ScaleCrop>
  <Company/>
  <LinksUpToDate>false</LinksUpToDate>
  <CharactersWithSpaces>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</dc:title>
  <dc:creator>CONJUR-MP</dc:creator>
  <dc:description>Texto idêntico ao modelo de serviços, salvo pela especificação do objeto contratado e da respectiva nota explicativa.</dc:description>
  <cp:lastModifiedBy>Luciana Cristofari</cp:lastModifiedBy>
  <cp:revision>6</cp:revision>
  <dcterms:created xsi:type="dcterms:W3CDTF">2017-06-01T21:20:00Z</dcterms:created>
  <dcterms:modified xsi:type="dcterms:W3CDTF">2018-11-28T11:52:00Z</dcterms:modified>
</cp:coreProperties>
</file>